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45E" w:rsidRDefault="004F645E" w:rsidP="004F645E">
      <w:pPr>
        <w:jc w:val="right"/>
      </w:pPr>
    </w:p>
    <w:p w:rsidR="004F645E" w:rsidRDefault="004F645E" w:rsidP="004F645E">
      <w:pPr>
        <w:rPr>
          <w:rFonts w:ascii="Cera Pro" w:hAnsi="Cera Pro"/>
          <w:b/>
          <w:color w:val="808080" w:themeColor="background1" w:themeShade="80"/>
        </w:rPr>
      </w:pPr>
      <w:r w:rsidRPr="004F645E">
        <w:rPr>
          <w:rFonts w:ascii="Cera Pro" w:hAnsi="Cera Pro"/>
          <w:b/>
          <w:color w:val="808080" w:themeColor="background1" w:themeShade="80"/>
        </w:rPr>
        <w:t>PPL – PRS Royalty Thresholds 2021-2022</w:t>
      </w:r>
    </w:p>
    <w:p w:rsidR="004F645E" w:rsidRPr="004F645E" w:rsidRDefault="004F645E" w:rsidP="004F645E">
      <w:pPr>
        <w:rPr>
          <w:rFonts w:ascii="Cera Pro" w:hAnsi="Cera Pro"/>
          <w:b/>
          <w:color w:val="808080" w:themeColor="background1" w:themeShade="80"/>
        </w:rPr>
      </w:pPr>
    </w:p>
    <w:p w:rsid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Below are the updated thresholds and minimum fees for commercial radio music licences with PPL and PRS for Music. These thresholds are adjusted on 1st October in any given licence year </w:t>
      </w:r>
      <w:proofErr w:type="gramStart"/>
      <w:r w:rsidRPr="004F645E">
        <w:rPr>
          <w:rFonts w:ascii="Cera Pro" w:hAnsi="Cera Pro"/>
          <w:color w:val="808080" w:themeColor="background1" w:themeShade="80"/>
        </w:rPr>
        <w:t>so as to</w:t>
      </w:r>
      <w:proofErr w:type="gramEnd"/>
      <w:r w:rsidRPr="004F645E">
        <w:rPr>
          <w:rFonts w:ascii="Cera Pro" w:hAnsi="Cera Pro"/>
          <w:color w:val="808080" w:themeColor="background1" w:themeShade="80"/>
        </w:rPr>
        <w:t xml:space="preserve"> reflect any movement in the RPI. The revised thresholds are e</w:t>
      </w:r>
      <w:r>
        <w:rPr>
          <w:rFonts w:ascii="Cera Pro" w:hAnsi="Cera Pro"/>
          <w:color w:val="808080" w:themeColor="background1" w:themeShade="80"/>
        </w:rPr>
        <w:t>ffective from 1st October 2021.</w:t>
      </w:r>
      <w:r w:rsidRPr="004F645E">
        <w:rPr>
          <w:rFonts w:ascii="Cera Pro" w:hAnsi="Cera Pro"/>
          <w:color w:val="808080" w:themeColor="background1" w:themeShade="80"/>
        </w:rPr>
        <w:t xml:space="preserve">      </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                                     </w:t>
      </w:r>
    </w:p>
    <w:p w:rsidR="004F645E" w:rsidRPr="004F645E" w:rsidRDefault="004F645E" w:rsidP="004F645E">
      <w:pPr>
        <w:rPr>
          <w:rFonts w:ascii="Cera Pro" w:hAnsi="Cera Pro"/>
          <w:b/>
          <w:color w:val="808080" w:themeColor="background1" w:themeShade="80"/>
        </w:rPr>
      </w:pPr>
      <w:r w:rsidRPr="004F645E">
        <w:rPr>
          <w:rFonts w:ascii="Cera Pro" w:hAnsi="Cera Pro"/>
          <w:b/>
          <w:color w:val="808080" w:themeColor="background1" w:themeShade="80"/>
        </w:rPr>
        <w:t>PPL</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Thresholds/ revenue bands </w:t>
      </w:r>
      <w:proofErr w:type="gramStart"/>
      <w:r w:rsidRPr="004F645E">
        <w:rPr>
          <w:rFonts w:ascii="Cera Pro" w:hAnsi="Cera Pro"/>
          <w:color w:val="808080" w:themeColor="background1" w:themeShade="80"/>
        </w:rPr>
        <w:t>have been adjusted</w:t>
      </w:r>
      <w:proofErr w:type="gramEnd"/>
      <w:r w:rsidRPr="004F645E">
        <w:rPr>
          <w:rFonts w:ascii="Cera Pro" w:hAnsi="Cera Pro"/>
          <w:color w:val="808080" w:themeColor="background1" w:themeShade="80"/>
        </w:rPr>
        <w:t xml:space="preserve"> to reflect changes in the RPI index from June 2021.</w:t>
      </w:r>
    </w:p>
    <w:p w:rsidR="004F645E" w:rsidRPr="004F645E" w:rsidRDefault="004F645E" w:rsidP="004F645E">
      <w:pPr>
        <w:rPr>
          <w:rFonts w:ascii="Cera Pro" w:hAnsi="Cera Pro"/>
          <w:b/>
          <w:color w:val="808080" w:themeColor="background1" w:themeShade="80"/>
        </w:rPr>
      </w:pPr>
      <w:r w:rsidRPr="004F645E">
        <w:rPr>
          <w:rFonts w:ascii="Cera Pro" w:hAnsi="Cera Pro"/>
          <w:b/>
          <w:color w:val="808080" w:themeColor="background1" w:themeShade="80"/>
        </w:rPr>
        <w:t>Royalty rates:</w:t>
      </w:r>
    </w:p>
    <w:p w:rsidR="004F645E" w:rsidRPr="004F645E" w:rsidRDefault="004F645E" w:rsidP="004F645E">
      <w:pPr>
        <w:rPr>
          <w:rFonts w:ascii="Cera Pro" w:hAnsi="Cera Pro"/>
          <w:b/>
          <w:color w:val="808080" w:themeColor="background1" w:themeShade="80"/>
        </w:rPr>
      </w:pPr>
      <w:r w:rsidRPr="004F645E">
        <w:rPr>
          <w:rFonts w:ascii="Cera Pro" w:hAnsi="Cera Pro"/>
          <w:b/>
          <w:color w:val="808080" w:themeColor="background1" w:themeShade="80"/>
        </w:rPr>
        <w:t>NBR                                                         RATE</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£1,626,761 or greater                           5% of NBR</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£813,382 to £1,626,760                        3% of NBR</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£43,524 to £813,381                             2% of NBR</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Up to £43,523        </w:t>
      </w:r>
      <w:r>
        <w:rPr>
          <w:rFonts w:ascii="Cera Pro" w:hAnsi="Cera Pro"/>
          <w:color w:val="808080" w:themeColor="background1" w:themeShade="80"/>
        </w:rPr>
        <w:t xml:space="preserve">                              </w:t>
      </w:r>
      <w:r w:rsidRPr="004F645E">
        <w:rPr>
          <w:rFonts w:ascii="Cera Pro" w:hAnsi="Cera Pro"/>
          <w:color w:val="808080" w:themeColor="background1" w:themeShade="80"/>
        </w:rPr>
        <w:t>Minimum per platform fee(s)</w:t>
      </w:r>
    </w:p>
    <w:p w:rsidR="004F645E" w:rsidRDefault="004F645E" w:rsidP="004F645E">
      <w:pPr>
        <w:rPr>
          <w:rFonts w:ascii="Cera Pro" w:hAnsi="Cera Pro"/>
          <w:color w:val="808080" w:themeColor="background1" w:themeShade="80"/>
        </w:rPr>
      </w:pP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A low usage rate of 1% applies where the proportion of PPL repertoire used is less than 15% o</w:t>
      </w:r>
      <w:r>
        <w:rPr>
          <w:rFonts w:ascii="Cera Pro" w:hAnsi="Cera Pro"/>
          <w:color w:val="808080" w:themeColor="background1" w:themeShade="80"/>
        </w:rPr>
        <w:t>f total annual broadcast hours.</w:t>
      </w:r>
      <w:r w:rsidRPr="004F645E">
        <w:rPr>
          <w:rFonts w:ascii="Cera Pro" w:hAnsi="Cera Pro"/>
          <w:color w:val="808080" w:themeColor="background1" w:themeShade="80"/>
        </w:rPr>
        <w:t xml:space="preserve">                                     </w:t>
      </w:r>
    </w:p>
    <w:p w:rsid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Full Usage Reporting (e.g. unreconciled digital record of each day’s musical output) starts when NBR reaches £4,416,527 and/or when the station operates a digital play-out system.</w:t>
      </w:r>
    </w:p>
    <w:p w:rsidR="004F645E" w:rsidRPr="004F645E" w:rsidRDefault="004F645E" w:rsidP="004F645E">
      <w:pPr>
        <w:rPr>
          <w:rFonts w:ascii="Cera Pro" w:hAnsi="Cera Pro"/>
          <w:color w:val="808080" w:themeColor="background1" w:themeShade="80"/>
        </w:rPr>
      </w:pPr>
    </w:p>
    <w:p w:rsidR="004F645E" w:rsidRPr="004F645E" w:rsidRDefault="004F645E" w:rsidP="004F645E">
      <w:pPr>
        <w:rPr>
          <w:rFonts w:ascii="Cera Pro" w:hAnsi="Cera Pro"/>
          <w:b/>
          <w:color w:val="808080" w:themeColor="background1" w:themeShade="80"/>
        </w:rPr>
      </w:pPr>
      <w:r w:rsidRPr="004F645E">
        <w:rPr>
          <w:rFonts w:ascii="Cera Pro" w:hAnsi="Cera Pro"/>
          <w:b/>
          <w:color w:val="808080" w:themeColor="background1" w:themeShade="80"/>
        </w:rPr>
        <w:t>Minimum fees:</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The minimum fees </w:t>
      </w:r>
      <w:proofErr w:type="gramStart"/>
      <w:r w:rsidRPr="004F645E">
        <w:rPr>
          <w:rFonts w:ascii="Cera Pro" w:hAnsi="Cera Pro"/>
          <w:color w:val="808080" w:themeColor="background1" w:themeShade="80"/>
        </w:rPr>
        <w:t>are adjusted</w:t>
      </w:r>
      <w:proofErr w:type="gramEnd"/>
      <w:r w:rsidRPr="004F645E">
        <w:rPr>
          <w:rFonts w:ascii="Cera Pro" w:hAnsi="Cera Pro"/>
          <w:color w:val="808080" w:themeColor="background1" w:themeShade="80"/>
        </w:rPr>
        <w:t xml:space="preserve"> every three years. As this last occurred in October </w:t>
      </w:r>
      <w:proofErr w:type="gramStart"/>
      <w:r w:rsidRPr="004F645E">
        <w:rPr>
          <w:rFonts w:ascii="Cera Pro" w:hAnsi="Cera Pro"/>
          <w:color w:val="808080" w:themeColor="background1" w:themeShade="80"/>
        </w:rPr>
        <w:t>2019</w:t>
      </w:r>
      <w:proofErr w:type="gramEnd"/>
      <w:r w:rsidRPr="004F645E">
        <w:rPr>
          <w:rFonts w:ascii="Cera Pro" w:hAnsi="Cera Pro"/>
          <w:color w:val="808080" w:themeColor="background1" w:themeShade="80"/>
        </w:rPr>
        <w:t xml:space="preserve"> the fees are being adjusted again this year and will apply from 1 October 2021.  The next adjustment is due to take effect from 1 October 2024.</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Minimum fee for a station broadcast on AM and/or FM – £809</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    Minimum fee for a station also broadcast on one local DAB multiplex – £809 </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Minimum fee for a station on one local DAB multiplex only (and not AM or FM) - £148</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Minimum fee for a station broadcast on a national DAB multiplex – £1,473</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lastRenderedPageBreak/>
        <w:t>•    Minimum fee for a station included on a Satellite Simulcast Service – £1,473</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Minimum fee for a station included on a local cable service – £148</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Minimum fee for a station included on a national cable service – £1,473</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Minimum fee for a station included on DTT (Freeview) – £1,473</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Minimum fee for a station included in an Internet Simulcast Service – £1,473</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Minimum fee for test transmissions – £361</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 </w:t>
      </w:r>
    </w:p>
    <w:p w:rsidR="004F645E" w:rsidRPr="004F645E" w:rsidRDefault="004F645E" w:rsidP="004F645E">
      <w:pPr>
        <w:rPr>
          <w:rFonts w:ascii="Cera Pro" w:hAnsi="Cera Pro"/>
          <w:b/>
          <w:color w:val="808080" w:themeColor="background1" w:themeShade="80"/>
        </w:rPr>
      </w:pPr>
      <w:r w:rsidRPr="004F645E">
        <w:rPr>
          <w:rFonts w:ascii="Cera Pro" w:hAnsi="Cera Pro"/>
          <w:b/>
          <w:color w:val="808080" w:themeColor="background1" w:themeShade="80"/>
        </w:rPr>
        <w:t>PRS</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PRS thresholds and percentages of NBR are marginally different to those used by PPL. Both these thresholds and lump sum payments </w:t>
      </w:r>
      <w:proofErr w:type="gramStart"/>
      <w:r w:rsidRPr="004F645E">
        <w:rPr>
          <w:rFonts w:ascii="Cera Pro" w:hAnsi="Cera Pro"/>
          <w:color w:val="808080" w:themeColor="background1" w:themeShade="80"/>
        </w:rPr>
        <w:t>have also been adjusted</w:t>
      </w:r>
      <w:proofErr w:type="gramEnd"/>
      <w:r w:rsidRPr="004F645E">
        <w:rPr>
          <w:rFonts w:ascii="Cera Pro" w:hAnsi="Cera Pro"/>
          <w:color w:val="808080" w:themeColor="background1" w:themeShade="80"/>
        </w:rPr>
        <w:t xml:space="preserve"> in line with annual RPI index published in July.</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                                                        </w:t>
      </w:r>
    </w:p>
    <w:p w:rsidR="004F645E" w:rsidRPr="004F645E" w:rsidRDefault="004F645E" w:rsidP="004F645E">
      <w:pPr>
        <w:rPr>
          <w:rFonts w:ascii="Cera Pro" w:hAnsi="Cera Pro"/>
          <w:b/>
          <w:color w:val="808080" w:themeColor="background1" w:themeShade="80"/>
        </w:rPr>
      </w:pPr>
      <w:r w:rsidRPr="004F645E">
        <w:rPr>
          <w:rFonts w:ascii="Cera Pro" w:hAnsi="Cera Pro"/>
          <w:b/>
          <w:color w:val="808080" w:themeColor="background1" w:themeShade="80"/>
        </w:rPr>
        <w:t>Royalty rates:</w:t>
      </w:r>
    </w:p>
    <w:p w:rsidR="004F645E" w:rsidRPr="004F645E" w:rsidRDefault="004F645E" w:rsidP="004F645E">
      <w:pPr>
        <w:rPr>
          <w:rFonts w:ascii="Cera Pro" w:hAnsi="Cera Pro"/>
          <w:b/>
          <w:color w:val="808080" w:themeColor="background1" w:themeShade="80"/>
        </w:rPr>
      </w:pPr>
      <w:r w:rsidRPr="004F645E">
        <w:rPr>
          <w:rFonts w:ascii="Cera Pro" w:hAnsi="Cera Pro"/>
          <w:b/>
          <w:color w:val="808080" w:themeColor="background1" w:themeShade="80"/>
        </w:rPr>
        <w:t xml:space="preserve">                                                        </w:t>
      </w:r>
    </w:p>
    <w:p w:rsidR="004F645E" w:rsidRPr="004F645E" w:rsidRDefault="004F645E" w:rsidP="004F645E">
      <w:pPr>
        <w:rPr>
          <w:rFonts w:ascii="Cera Pro" w:hAnsi="Cera Pro"/>
          <w:b/>
          <w:color w:val="808080" w:themeColor="background1" w:themeShade="80"/>
        </w:rPr>
      </w:pPr>
      <w:r w:rsidRPr="004F645E">
        <w:rPr>
          <w:rFonts w:ascii="Cera Pro" w:hAnsi="Cera Pro"/>
          <w:b/>
          <w:color w:val="808080" w:themeColor="background1" w:themeShade="80"/>
        </w:rPr>
        <w:t>NBR                                                          RATE</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£1,624,841 or more </w:t>
      </w:r>
      <w:r>
        <w:rPr>
          <w:rFonts w:ascii="Cera Pro" w:hAnsi="Cera Pro"/>
          <w:color w:val="808080" w:themeColor="background1" w:themeShade="80"/>
        </w:rPr>
        <w:t xml:space="preserve">                               </w:t>
      </w:r>
      <w:r w:rsidRPr="004F645E">
        <w:rPr>
          <w:rFonts w:ascii="Cera Pro" w:hAnsi="Cera Pro"/>
          <w:color w:val="808080" w:themeColor="background1" w:themeShade="80"/>
        </w:rPr>
        <w:t>5.25% of NBR</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£812,419 and £1,624,841                       </w:t>
      </w:r>
      <w:r>
        <w:rPr>
          <w:rFonts w:ascii="Cera Pro" w:hAnsi="Cera Pro"/>
          <w:color w:val="808080" w:themeColor="background1" w:themeShade="80"/>
        </w:rPr>
        <w:t xml:space="preserve"> </w:t>
      </w:r>
      <w:r w:rsidRPr="004F645E">
        <w:rPr>
          <w:rFonts w:ascii="Cera Pro" w:hAnsi="Cera Pro"/>
          <w:color w:val="808080" w:themeColor="background1" w:themeShade="80"/>
        </w:rPr>
        <w:t>4% of NBR</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£35,017 and £812,419                            3% of NBR</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Up to £35,017          </w:t>
      </w:r>
      <w:r>
        <w:rPr>
          <w:rFonts w:ascii="Cera Pro" w:hAnsi="Cera Pro"/>
          <w:color w:val="808080" w:themeColor="background1" w:themeShade="80"/>
        </w:rPr>
        <w:t xml:space="preserve">                              </w:t>
      </w:r>
      <w:r w:rsidRPr="004F645E">
        <w:rPr>
          <w:rFonts w:ascii="Cera Pro" w:hAnsi="Cera Pro"/>
          <w:color w:val="808080" w:themeColor="background1" w:themeShade="80"/>
        </w:rPr>
        <w:t>minimum fee (£1,049)</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Low usage (ir</w:t>
      </w:r>
      <w:r>
        <w:rPr>
          <w:rFonts w:ascii="Cera Pro" w:hAnsi="Cera Pro"/>
          <w:color w:val="808080" w:themeColor="background1" w:themeShade="80"/>
        </w:rPr>
        <w:t xml:space="preserve">respective of NBR)          </w:t>
      </w:r>
      <w:r w:rsidRPr="004F645E">
        <w:rPr>
          <w:rFonts w:ascii="Cera Pro" w:hAnsi="Cera Pro"/>
          <w:color w:val="808080" w:themeColor="background1" w:themeShade="80"/>
        </w:rPr>
        <w:t>1% of NBR</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xml:space="preserve">                                                        </w:t>
      </w:r>
    </w:p>
    <w:p w:rsidR="004F645E" w:rsidRPr="004F645E" w:rsidRDefault="004F645E" w:rsidP="004F645E">
      <w:pPr>
        <w:rPr>
          <w:rFonts w:ascii="Cera Pro" w:hAnsi="Cera Pro"/>
          <w:b/>
          <w:color w:val="808080" w:themeColor="background1" w:themeShade="80"/>
        </w:rPr>
      </w:pPr>
      <w:r w:rsidRPr="004F645E">
        <w:rPr>
          <w:rFonts w:ascii="Cera Pro" w:hAnsi="Cera Pro"/>
          <w:b/>
          <w:color w:val="808080" w:themeColor="background1" w:themeShade="80"/>
        </w:rPr>
        <w:t>Lump sums/ revenue bands:</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Band 1 – up to £125,447 – pays £69</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Band 2 – between £125,447 and £313,617– pays £207</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Band 3 – between £313,617 and £812,419 – pays £514</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Band 4 – between £812,419 and £1,624,841 – pays £1,380</w:t>
      </w:r>
    </w:p>
    <w:p w:rsidR="004F645E" w:rsidRP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Band 5 – between £1,624,841 and £</w:t>
      </w:r>
      <w:proofErr w:type="gramStart"/>
      <w:r w:rsidRPr="004F645E">
        <w:rPr>
          <w:rFonts w:ascii="Cera Pro" w:hAnsi="Cera Pro"/>
          <w:color w:val="808080" w:themeColor="background1" w:themeShade="80"/>
        </w:rPr>
        <w:t>3,763,400  –</w:t>
      </w:r>
      <w:proofErr w:type="gramEnd"/>
      <w:r w:rsidRPr="004F645E">
        <w:rPr>
          <w:rFonts w:ascii="Cera Pro" w:hAnsi="Cera Pro"/>
          <w:color w:val="808080" w:themeColor="background1" w:themeShade="80"/>
        </w:rPr>
        <w:t xml:space="preserve"> pays £2,070</w:t>
      </w:r>
    </w:p>
    <w:p w:rsidR="004F645E" w:rsidRDefault="004F645E" w:rsidP="004F645E">
      <w:pPr>
        <w:rPr>
          <w:rFonts w:ascii="Cera Pro" w:hAnsi="Cera Pro"/>
          <w:color w:val="808080" w:themeColor="background1" w:themeShade="80"/>
        </w:rPr>
      </w:pPr>
      <w:r w:rsidRPr="004F645E">
        <w:rPr>
          <w:rFonts w:ascii="Cera Pro" w:hAnsi="Cera Pro"/>
          <w:color w:val="808080" w:themeColor="background1" w:themeShade="80"/>
        </w:rPr>
        <w:t>- Band 6 – over £3,763,400 – pays £4,830</w:t>
      </w:r>
    </w:p>
    <w:p w:rsidR="004F645E" w:rsidRPr="004F645E" w:rsidRDefault="004F645E" w:rsidP="004F645E">
      <w:pPr>
        <w:rPr>
          <w:rFonts w:ascii="Cera Pro" w:hAnsi="Cera Pro"/>
          <w:color w:val="808080" w:themeColor="background1" w:themeShade="80"/>
        </w:rPr>
      </w:pPr>
    </w:p>
    <w:p w:rsidR="00FC5B4C" w:rsidRPr="004F645E" w:rsidRDefault="004F645E">
      <w:pPr>
        <w:rPr>
          <w:rFonts w:ascii="Cera Pro" w:hAnsi="Cera Pro"/>
          <w:color w:val="808080" w:themeColor="background1" w:themeShade="80"/>
        </w:rPr>
      </w:pPr>
      <w:r w:rsidRPr="004F645E">
        <w:rPr>
          <w:rFonts w:ascii="Cera Pro" w:hAnsi="Cera Pro"/>
          <w:color w:val="808080" w:themeColor="background1" w:themeShade="80"/>
        </w:rPr>
        <w:t xml:space="preserve">If you have any further questions on these rates please contact </w:t>
      </w:r>
      <w:hyperlink r:id="rId6" w:history="1">
        <w:r w:rsidRPr="004F645E">
          <w:rPr>
            <w:rStyle w:val="Hyperlink"/>
            <w:rFonts w:ascii="Cera Pro" w:hAnsi="Cera Pro"/>
            <w:color w:val="023160" w:themeColor="hyperlink" w:themeShade="80"/>
          </w:rPr>
          <w:t>Matt Payton.</w:t>
        </w:r>
      </w:hyperlink>
      <w:bookmarkStart w:id="0" w:name="_GoBack"/>
      <w:bookmarkEnd w:id="0"/>
    </w:p>
    <w:sectPr w:rsidR="00FC5B4C" w:rsidRPr="004F645E" w:rsidSect="00DE3EF3">
      <w:headerReference w:type="default" r:id="rId7"/>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5E" w:rsidRDefault="004F645E" w:rsidP="004F645E">
      <w:pPr>
        <w:spacing w:after="0" w:line="240" w:lineRule="auto"/>
      </w:pPr>
      <w:r>
        <w:separator/>
      </w:r>
    </w:p>
  </w:endnote>
  <w:endnote w:type="continuationSeparator" w:id="0">
    <w:p w:rsidR="004F645E" w:rsidRDefault="004F645E" w:rsidP="004F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ra Pro">
    <w:panose1 w:val="00000500000000000000"/>
    <w:charset w:val="00"/>
    <w:family w:val="modern"/>
    <w:notTrueType/>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5E" w:rsidRDefault="004F645E" w:rsidP="004F645E">
      <w:pPr>
        <w:spacing w:after="0" w:line="240" w:lineRule="auto"/>
      </w:pPr>
      <w:r>
        <w:separator/>
      </w:r>
    </w:p>
  </w:footnote>
  <w:footnote w:type="continuationSeparator" w:id="0">
    <w:p w:rsidR="004F645E" w:rsidRDefault="004F645E" w:rsidP="004F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5E" w:rsidRDefault="004F645E" w:rsidP="004F645E">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7pt;height:69.75pt">
          <v:imagedata r:id="rId1" o:title="Radiocentre-Master-RGB-Pos"/>
        </v:shape>
      </w:pict>
    </w:r>
  </w:p>
  <w:p w:rsidR="004F645E" w:rsidRDefault="004F6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5E"/>
    <w:rsid w:val="00427042"/>
    <w:rsid w:val="004F645E"/>
    <w:rsid w:val="00966E6B"/>
    <w:rsid w:val="00DE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BCA67E"/>
  <w15:chartTrackingRefBased/>
  <w15:docId w15:val="{3E2B48AE-526F-4B51-9CE1-CD6248DD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45E"/>
  </w:style>
  <w:style w:type="paragraph" w:styleId="Footer">
    <w:name w:val="footer"/>
    <w:basedOn w:val="Normal"/>
    <w:link w:val="FooterChar"/>
    <w:uiPriority w:val="99"/>
    <w:unhideWhenUsed/>
    <w:rsid w:val="004F6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45E"/>
  </w:style>
  <w:style w:type="character" w:styleId="Hyperlink">
    <w:name w:val="Hyperlink"/>
    <w:basedOn w:val="DefaultParagraphFont"/>
    <w:uiPriority w:val="99"/>
    <w:unhideWhenUsed/>
    <w:rsid w:val="004F6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payton@radiocentr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Radiocentre</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Atkinson</dc:creator>
  <cp:keywords/>
  <dc:description/>
  <cp:lastModifiedBy>Jade Atkinson</cp:lastModifiedBy>
  <cp:revision>1</cp:revision>
  <dcterms:created xsi:type="dcterms:W3CDTF">2022-02-15T14:18:00Z</dcterms:created>
  <dcterms:modified xsi:type="dcterms:W3CDTF">2022-02-15T14:38:00Z</dcterms:modified>
</cp:coreProperties>
</file>