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AB" w:rsidRDefault="002C07AB" w:rsidP="002C07AB">
      <w:pPr>
        <w:jc w:val="center"/>
      </w:pPr>
      <w:r>
        <w:rPr>
          <w:noProof/>
          <w:lang w:eastAsia="en-GB"/>
        </w:rPr>
        <w:drawing>
          <wp:inline distT="0" distB="0" distL="0" distR="0">
            <wp:extent cx="4248150" cy="10825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_LogoB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7405" cy="1084869"/>
                    </a:xfrm>
                    <a:prstGeom prst="rect">
                      <a:avLst/>
                    </a:prstGeom>
                  </pic:spPr>
                </pic:pic>
              </a:graphicData>
            </a:graphic>
          </wp:inline>
        </w:drawing>
      </w:r>
    </w:p>
    <w:p w:rsidR="008B7004" w:rsidRPr="002C07AB" w:rsidRDefault="008B7004" w:rsidP="002C07AB">
      <w:pPr>
        <w:jc w:val="center"/>
        <w:rPr>
          <w:b/>
          <w:sz w:val="32"/>
        </w:rPr>
      </w:pPr>
      <w:r w:rsidRPr="002C07AB">
        <w:rPr>
          <w:b/>
          <w:sz w:val="32"/>
        </w:rPr>
        <w:t>Improving the effectiveness (consumer attention and understanding) of legal ca</w:t>
      </w:r>
      <w:r w:rsidR="00A903A7" w:rsidRPr="002C07AB">
        <w:rPr>
          <w:b/>
          <w:sz w:val="32"/>
        </w:rPr>
        <w:t>veats</w:t>
      </w:r>
      <w:r w:rsidR="00187D34">
        <w:rPr>
          <w:b/>
          <w:sz w:val="32"/>
        </w:rPr>
        <w:t xml:space="preserve"> and risk warnings</w:t>
      </w:r>
      <w:r w:rsidR="00A903A7" w:rsidRPr="002C07AB">
        <w:rPr>
          <w:b/>
          <w:sz w:val="32"/>
        </w:rPr>
        <w:t xml:space="preserve"> in radio advertising</w:t>
      </w:r>
    </w:p>
    <w:p w:rsidR="008B7004" w:rsidRDefault="002C07AB" w:rsidP="002C07AB">
      <w:pPr>
        <w:jc w:val="center"/>
      </w:pPr>
      <w:r>
        <w:t>R</w:t>
      </w:r>
      <w:r w:rsidR="008B7004">
        <w:t>esearch study by the Radio Advertising Bureau</w:t>
      </w:r>
    </w:p>
    <w:p w:rsidR="008B7004" w:rsidRPr="008644CC" w:rsidRDefault="008B7004">
      <w:pPr>
        <w:rPr>
          <w:b/>
        </w:rPr>
      </w:pPr>
      <w:r w:rsidRPr="008644CC">
        <w:rPr>
          <w:b/>
        </w:rPr>
        <w:t>BACKGROUND</w:t>
      </w:r>
    </w:p>
    <w:p w:rsidR="00970FA5" w:rsidRDefault="00970FA5">
      <w:r>
        <w:t xml:space="preserve">Many advertisements </w:t>
      </w:r>
      <w:r w:rsidR="00A903A7">
        <w:t xml:space="preserve">carry legal caveats. Also </w:t>
      </w:r>
      <w:r w:rsidR="00561771">
        <w:t xml:space="preserve">sometimes </w:t>
      </w:r>
      <w:r w:rsidR="00A903A7">
        <w:t>referred to as terms and conditions</w:t>
      </w:r>
      <w:r w:rsidR="00561771">
        <w:t xml:space="preserve"> or tags</w:t>
      </w:r>
      <w:r w:rsidR="00A903A7">
        <w:t>, they appear in the small print in press adv</w:t>
      </w:r>
      <w:bookmarkStart w:id="0" w:name="_GoBack"/>
      <w:bookmarkEnd w:id="0"/>
      <w:r w:rsidR="00A903A7">
        <w:t xml:space="preserve">ertising, </w:t>
      </w:r>
      <w:r w:rsidR="00816277">
        <w:t>in the</w:t>
      </w:r>
      <w:r w:rsidR="00A903A7">
        <w:t xml:space="preserve"> text at the bottom of </w:t>
      </w:r>
      <w:r w:rsidR="00816277">
        <w:t>TV advertisements</w:t>
      </w:r>
      <w:r w:rsidR="00A903A7">
        <w:t xml:space="preserve"> and in the case of radio they are read out</w:t>
      </w:r>
      <w:r w:rsidR="00196309">
        <w:t xml:space="preserve"> </w:t>
      </w:r>
      <w:r w:rsidR="00816277">
        <w:t>loud</w:t>
      </w:r>
      <w:r w:rsidR="00A903A7">
        <w:t>, usually at the end of the advertisement.</w:t>
      </w:r>
    </w:p>
    <w:p w:rsidR="00196309" w:rsidRDefault="00816277">
      <w:r>
        <w:t xml:space="preserve">Their purpose is to ensure </w:t>
      </w:r>
      <w:r w:rsidR="00A903A7">
        <w:t xml:space="preserve">consumers </w:t>
      </w:r>
      <w:r>
        <w:t xml:space="preserve">are able to make informed decisions about whether </w:t>
      </w:r>
      <w:r w:rsidR="00A903A7">
        <w:t>to purchase a product or not. In the case of financial advertising</w:t>
      </w:r>
      <w:proofErr w:type="gramStart"/>
      <w:r w:rsidR="00832C74">
        <w:t xml:space="preserve">, </w:t>
      </w:r>
      <w:r w:rsidR="00A903A7">
        <w:t xml:space="preserve"> </w:t>
      </w:r>
      <w:proofErr w:type="spellStart"/>
      <w:r w:rsidR="00A903A7">
        <w:t>legals</w:t>
      </w:r>
      <w:proofErr w:type="spellEnd"/>
      <w:proofErr w:type="gramEnd"/>
      <w:r w:rsidR="00A903A7">
        <w:t xml:space="preserve"> ca</w:t>
      </w:r>
      <w:r>
        <w:t>n also extend to risk warnings</w:t>
      </w:r>
      <w:r w:rsidR="00196309">
        <w:t xml:space="preserve"> which are designed to protect consumers by making them aware of any risks associated with financial products.</w:t>
      </w:r>
    </w:p>
    <w:p w:rsidR="00A903A7" w:rsidRPr="008644CC" w:rsidRDefault="00A903A7">
      <w:pPr>
        <w:rPr>
          <w:b/>
        </w:rPr>
      </w:pPr>
      <w:r w:rsidRPr="008644CC">
        <w:rPr>
          <w:b/>
        </w:rPr>
        <w:t>WHY THIS RESEARCH?</w:t>
      </w:r>
    </w:p>
    <w:p w:rsidR="002C07AB" w:rsidRDefault="00A903A7">
      <w:r>
        <w:t xml:space="preserve">One of the challenges of any legal caveats or </w:t>
      </w:r>
      <w:r w:rsidR="00BA315B">
        <w:t>risk warnings is</w:t>
      </w:r>
      <w:r>
        <w:t xml:space="preserve"> ensuring that consumers take out the important messages without being overloaded with too much </w:t>
      </w:r>
      <w:r w:rsidR="00B472A0">
        <w:t>information. This is particularly true of financial offers where the tags can include very compl</w:t>
      </w:r>
      <w:r w:rsidR="00A27D4B">
        <w:t>ex and detailed information</w:t>
      </w:r>
      <w:r w:rsidR="00B472A0">
        <w:t xml:space="preserve">. </w:t>
      </w:r>
    </w:p>
    <w:p w:rsidR="00B472A0" w:rsidRDefault="00B472A0">
      <w:r>
        <w:t xml:space="preserve">A number of research studies to date have already indicated that consumers often don’t pay attention to detailed </w:t>
      </w:r>
      <w:proofErr w:type="spellStart"/>
      <w:r>
        <w:t>legals</w:t>
      </w:r>
      <w:proofErr w:type="spellEnd"/>
      <w:r>
        <w:t xml:space="preserve"> within </w:t>
      </w:r>
      <w:r w:rsidR="00BA315B">
        <w:t xml:space="preserve">financial </w:t>
      </w:r>
      <w:r>
        <w:t>advertis</w:t>
      </w:r>
      <w:r w:rsidR="00035367">
        <w:t>ements, nor do they expect them</w:t>
      </w:r>
      <w:r w:rsidR="002C40F4">
        <w:rPr>
          <w:rStyle w:val="FootnoteReference"/>
        </w:rPr>
        <w:footnoteReference w:id="1"/>
      </w:r>
      <w:r w:rsidR="00035367">
        <w:t>.</w:t>
      </w:r>
    </w:p>
    <w:p w:rsidR="007D514E" w:rsidRDefault="00A27D4B">
      <w:r>
        <w:t>A</w:t>
      </w:r>
      <w:r w:rsidR="007D514E">
        <w:t xml:space="preserve"> recent analysis</w:t>
      </w:r>
      <w:r w:rsidR="00832C74">
        <w:t xml:space="preserve"> of the RAB’s </w:t>
      </w:r>
      <w:proofErr w:type="spellStart"/>
      <w:r w:rsidR="00832C74">
        <w:t>r</w:t>
      </w:r>
      <w:r w:rsidR="002C07AB">
        <w:t>adioGauge</w:t>
      </w:r>
      <w:proofErr w:type="spellEnd"/>
      <w:r w:rsidR="002C07AB">
        <w:t xml:space="preserve"> database also indicated t</w:t>
      </w:r>
      <w:r w:rsidR="007D514E">
        <w:t xml:space="preserve">hat </w:t>
      </w:r>
      <w:r w:rsidR="002C07AB">
        <w:t xml:space="preserve">radio </w:t>
      </w:r>
      <w:r w:rsidR="007D514E">
        <w:t>ads with longer terms and conditions performed less well against important metric</w:t>
      </w:r>
      <w:r w:rsidR="00832C74">
        <w:t>s, including listener attention</w:t>
      </w:r>
      <w:r w:rsidR="002F41ED">
        <w:rPr>
          <w:rStyle w:val="FootnoteReference"/>
        </w:rPr>
        <w:footnoteReference w:id="2"/>
      </w:r>
      <w:r w:rsidR="007D514E">
        <w:t>.</w:t>
      </w:r>
    </w:p>
    <w:p w:rsidR="002C07AB" w:rsidRDefault="00A27D4B" w:rsidP="002C07AB">
      <w:r>
        <w:t>However,</w:t>
      </w:r>
      <w:r w:rsidR="002C07AB">
        <w:t xml:space="preserve"> quantitative</w:t>
      </w:r>
      <w:r>
        <w:t xml:space="preserve"> research to directly explore the </w:t>
      </w:r>
      <w:r w:rsidR="002C07AB">
        <w:t>effects of different lengths and complexity of terms and conditions has been limited</w:t>
      </w:r>
      <w:r>
        <w:t>, hence this research.</w:t>
      </w:r>
    </w:p>
    <w:p w:rsidR="00524BCF" w:rsidRDefault="00A27D4B">
      <w:r>
        <w:t>The research focuses on financial advertising</w:t>
      </w:r>
      <w:r w:rsidR="00524BCF">
        <w:t xml:space="preserve"> for two reasons:-</w:t>
      </w:r>
    </w:p>
    <w:p w:rsidR="00193531" w:rsidRDefault="00193531" w:rsidP="00524BCF">
      <w:pPr>
        <w:pStyle w:val="ListParagraph"/>
        <w:numPr>
          <w:ilvl w:val="0"/>
          <w:numId w:val="3"/>
        </w:numPr>
      </w:pPr>
      <w:r>
        <w:t>Financial advertising invariably carries some of the</w:t>
      </w:r>
      <w:r w:rsidR="00FA2550">
        <w:t xml:space="preserve"> most complex and lengthy </w:t>
      </w:r>
      <w:proofErr w:type="spellStart"/>
      <w:r w:rsidR="00FA2550">
        <w:t>legals</w:t>
      </w:r>
      <w:proofErr w:type="spellEnd"/>
      <w:r w:rsidR="00FA2550">
        <w:t>.</w:t>
      </w:r>
    </w:p>
    <w:p w:rsidR="00193531" w:rsidRDefault="00FA2550" w:rsidP="00524BCF">
      <w:pPr>
        <w:pStyle w:val="ListParagraph"/>
        <w:numPr>
          <w:ilvl w:val="0"/>
          <w:numId w:val="3"/>
        </w:numPr>
      </w:pPr>
      <w:r>
        <w:lastRenderedPageBreak/>
        <w:t xml:space="preserve">Consumer credit is currently under review by the Financial Conduct Authority </w:t>
      </w:r>
      <w:r w:rsidR="002C07AB">
        <w:t xml:space="preserve">as they take on full responsibility from the OFT and </w:t>
      </w:r>
      <w:r w:rsidR="003734C7">
        <w:t xml:space="preserve">in the last year has been the subject of a lot of debate, </w:t>
      </w:r>
      <w:r>
        <w:t>particularly relating to payday loan advertising.</w:t>
      </w:r>
    </w:p>
    <w:p w:rsidR="00832C74" w:rsidRDefault="00832C74">
      <w:pPr>
        <w:rPr>
          <w:b/>
        </w:rPr>
      </w:pPr>
    </w:p>
    <w:p w:rsidR="005E5BF1" w:rsidRPr="008644CC" w:rsidRDefault="005E5BF1">
      <w:pPr>
        <w:rPr>
          <w:b/>
        </w:rPr>
      </w:pPr>
      <w:r w:rsidRPr="008644CC">
        <w:rPr>
          <w:b/>
        </w:rPr>
        <w:t>OBJECTIVES</w:t>
      </w:r>
      <w:r w:rsidR="00FA2550" w:rsidRPr="008644CC">
        <w:rPr>
          <w:b/>
        </w:rPr>
        <w:t xml:space="preserve"> </w:t>
      </w:r>
      <w:r w:rsidR="00561771">
        <w:rPr>
          <w:b/>
        </w:rPr>
        <w:t>OF</w:t>
      </w:r>
      <w:r w:rsidR="00FA2550" w:rsidRPr="008644CC">
        <w:rPr>
          <w:b/>
        </w:rPr>
        <w:t xml:space="preserve"> THE RESEARCH</w:t>
      </w:r>
    </w:p>
    <w:p w:rsidR="000E4BB0" w:rsidRDefault="00FA2550">
      <w:r>
        <w:t xml:space="preserve">To measure whether simpler, shorter legal caveats and risk warnings </w:t>
      </w:r>
      <w:r w:rsidR="00BA315B">
        <w:t xml:space="preserve">in financial advertisements </w:t>
      </w:r>
      <w:r>
        <w:t>can engage consumers and lan</w:t>
      </w:r>
      <w:r w:rsidR="000E4BB0">
        <w:t>d key messages more effectively than their longer, more complex counterparts.</w:t>
      </w:r>
    </w:p>
    <w:p w:rsidR="00832C74" w:rsidRDefault="00832C74">
      <w:pPr>
        <w:rPr>
          <w:b/>
        </w:rPr>
      </w:pPr>
    </w:p>
    <w:p w:rsidR="005E5BF1" w:rsidRPr="008644CC" w:rsidRDefault="000E4BB0">
      <w:pPr>
        <w:rPr>
          <w:b/>
        </w:rPr>
      </w:pPr>
      <w:r w:rsidRPr="008644CC">
        <w:rPr>
          <w:b/>
        </w:rPr>
        <w:t xml:space="preserve">WHAT </w:t>
      </w:r>
      <w:r w:rsidR="00104600" w:rsidRPr="008644CC">
        <w:rPr>
          <w:b/>
        </w:rPr>
        <w:t xml:space="preserve">TYPES OF </w:t>
      </w:r>
      <w:r w:rsidRPr="008644CC">
        <w:rPr>
          <w:b/>
        </w:rPr>
        <w:t>LEGAL CAVEATS DID WE LOOK AT IN THE STUDY</w:t>
      </w:r>
      <w:r w:rsidR="005E5BF1" w:rsidRPr="008644CC">
        <w:rPr>
          <w:b/>
        </w:rPr>
        <w:t>?</w:t>
      </w:r>
    </w:p>
    <w:p w:rsidR="000E4BB0" w:rsidRDefault="000E4BB0">
      <w:r>
        <w:t xml:space="preserve">To keep this study as simple as possible we have </w:t>
      </w:r>
      <w:r w:rsidR="003734C7">
        <w:t>focused on two types of financial advertisements</w:t>
      </w:r>
      <w:r>
        <w:t>:-</w:t>
      </w:r>
    </w:p>
    <w:p w:rsidR="003734C7" w:rsidRDefault="00561771" w:rsidP="000E4BB0">
      <w:pPr>
        <w:pStyle w:val="ListParagraph"/>
        <w:numPr>
          <w:ilvl w:val="0"/>
          <w:numId w:val="4"/>
        </w:numPr>
      </w:pPr>
      <w:r w:rsidRPr="00561771">
        <w:rPr>
          <w:b/>
        </w:rPr>
        <w:t>Credit advertisements</w:t>
      </w:r>
      <w:r w:rsidR="003734C7">
        <w:br/>
        <w:t>C</w:t>
      </w:r>
      <w:r w:rsidR="000E4BB0">
        <w:t xml:space="preserve">onsumer credit </w:t>
      </w:r>
      <w:r w:rsidR="003734C7">
        <w:t>offers can generate some of the longest terms and conditions.</w:t>
      </w:r>
      <w:r w:rsidR="007D25BC">
        <w:t xml:space="preserve"> </w:t>
      </w:r>
      <w:r w:rsidR="003734C7">
        <w:t>The inclusion of any information relating to cost of credit necessitates a full representative example. Representative examples are both complex and long so an excellent test of just how much consumers can retain and understand when compared to a simpler alternative.</w:t>
      </w:r>
    </w:p>
    <w:p w:rsidR="003734C7" w:rsidRPr="003734C7" w:rsidRDefault="003734C7" w:rsidP="003734C7">
      <w:pPr>
        <w:pStyle w:val="ListParagraph"/>
        <w:numPr>
          <w:ilvl w:val="0"/>
          <w:numId w:val="4"/>
        </w:numPr>
        <w:rPr>
          <w:b/>
        </w:rPr>
      </w:pPr>
      <w:r>
        <w:t xml:space="preserve"> </w:t>
      </w:r>
      <w:r w:rsidR="00561771" w:rsidRPr="00561771">
        <w:rPr>
          <w:b/>
        </w:rPr>
        <w:t xml:space="preserve">Payday </w:t>
      </w:r>
      <w:r w:rsidR="000E4BB0" w:rsidRPr="00561771">
        <w:rPr>
          <w:b/>
        </w:rPr>
        <w:t>loan advertisement</w:t>
      </w:r>
      <w:r w:rsidR="00561771" w:rsidRPr="00561771">
        <w:rPr>
          <w:b/>
        </w:rPr>
        <w:t>s</w:t>
      </w:r>
      <w:r>
        <w:br/>
      </w:r>
      <w:proofErr w:type="gramStart"/>
      <w:r>
        <w:t>T</w:t>
      </w:r>
      <w:r w:rsidR="000E4BB0">
        <w:t>o</w:t>
      </w:r>
      <w:proofErr w:type="gramEnd"/>
      <w:r w:rsidR="000E4BB0">
        <w:t xml:space="preserve"> ensure consumers are aware of the risks of payday loans, the Financial Conduct Authority have recommended in their recent c</w:t>
      </w:r>
      <w:r w:rsidR="00333641">
        <w:t>onsultation</w:t>
      </w:r>
      <w:r>
        <w:t xml:space="preserve"> the inclusion of a risk warnin</w:t>
      </w:r>
      <w:r w:rsidR="00561771">
        <w:t>g.  Th</w:t>
      </w:r>
      <w:r w:rsidR="00A101A4">
        <w:t>e wording of this already adopts clear, consumer-friendly language alth</w:t>
      </w:r>
      <w:r w:rsidR="00250173">
        <w:t>ough it does still ad some 12-14</w:t>
      </w:r>
      <w:r w:rsidR="00A101A4">
        <w:t xml:space="preserve"> seconds to the end of a radio ad so this research provided an opportunity to test against a simpler alternative.</w:t>
      </w:r>
    </w:p>
    <w:p w:rsidR="00832C74" w:rsidRDefault="00832C74" w:rsidP="003734C7">
      <w:pPr>
        <w:rPr>
          <w:b/>
        </w:rPr>
      </w:pPr>
    </w:p>
    <w:p w:rsidR="008B7004" w:rsidRPr="003734C7" w:rsidRDefault="003734C7" w:rsidP="003734C7">
      <w:pPr>
        <w:rPr>
          <w:b/>
        </w:rPr>
      </w:pPr>
      <w:r w:rsidRPr="003734C7">
        <w:rPr>
          <w:b/>
        </w:rPr>
        <w:t xml:space="preserve"> </w:t>
      </w:r>
      <w:r w:rsidR="008B7004" w:rsidRPr="003734C7">
        <w:rPr>
          <w:b/>
        </w:rPr>
        <w:t>METHODOLOGY</w:t>
      </w:r>
    </w:p>
    <w:p w:rsidR="00BD6211" w:rsidRDefault="00BD6211" w:rsidP="008B7004">
      <w:r>
        <w:t>The research comprised an o</w:t>
      </w:r>
      <w:r w:rsidR="00E63357">
        <w:t>nline survey of 800 respondents</w:t>
      </w:r>
      <w:r w:rsidR="005037AF">
        <w:t>,</w:t>
      </w:r>
      <w:r w:rsidR="00E63357">
        <w:t xml:space="preserve"> all Commercial Radio listeners.</w:t>
      </w:r>
    </w:p>
    <w:p w:rsidR="00BD6211" w:rsidRDefault="00BD6211" w:rsidP="008B7004">
      <w:r>
        <w:t xml:space="preserve">Two </w:t>
      </w:r>
      <w:r w:rsidR="00F974E7">
        <w:t xml:space="preserve">radio </w:t>
      </w:r>
      <w:r>
        <w:t>ad</w:t>
      </w:r>
      <w:r w:rsidR="00F974E7">
        <w:t>vertisements</w:t>
      </w:r>
      <w:r>
        <w:t xml:space="preserve"> were taken </w:t>
      </w:r>
      <w:r w:rsidR="00B0628F">
        <w:t>which had aired in 2013</w:t>
      </w:r>
      <w:r>
        <w:t xml:space="preserve">: </w:t>
      </w:r>
      <w:r w:rsidR="00F974E7">
        <w:t>one for consumer credit</w:t>
      </w:r>
      <w:r w:rsidR="00AD3E8B">
        <w:t xml:space="preserve"> </w:t>
      </w:r>
      <w:r w:rsidR="00B869E8">
        <w:t xml:space="preserve">(in this case a Ford </w:t>
      </w:r>
      <w:r w:rsidR="00F974E7">
        <w:t>offer), the other for a payday loan company</w:t>
      </w:r>
      <w:r w:rsidR="00B869E8">
        <w:t xml:space="preserve"> (Wonga)</w:t>
      </w:r>
    </w:p>
    <w:p w:rsidR="00B0628F" w:rsidRDefault="00AD3E8B" w:rsidP="00AD3E8B">
      <w:r>
        <w:t>For each ad</w:t>
      </w:r>
      <w:r w:rsidR="00F974E7">
        <w:t>vert</w:t>
      </w:r>
      <w:r>
        <w:t xml:space="preserve"> </w:t>
      </w:r>
      <w:r w:rsidR="00BD6211">
        <w:t>we recorded two different versi</w:t>
      </w:r>
      <w:r w:rsidR="00BF2A78">
        <w:t>on</w:t>
      </w:r>
      <w:r>
        <w:t xml:space="preserve">s of the </w:t>
      </w:r>
      <w:proofErr w:type="spellStart"/>
      <w:r>
        <w:t>legals</w:t>
      </w:r>
      <w:proofErr w:type="spellEnd"/>
      <w:r>
        <w:t xml:space="preserve"> </w:t>
      </w:r>
      <w:r w:rsidR="00A0393B">
        <w:t>at the end</w:t>
      </w:r>
      <w:r w:rsidR="00B0628F">
        <w:t>:-</w:t>
      </w:r>
    </w:p>
    <w:p w:rsidR="00B0628F" w:rsidRDefault="00AD3E8B" w:rsidP="00B0628F">
      <w:pPr>
        <w:pStyle w:val="ListParagraph"/>
        <w:numPr>
          <w:ilvl w:val="0"/>
          <w:numId w:val="3"/>
        </w:numPr>
      </w:pPr>
      <w:r>
        <w:t xml:space="preserve">a </w:t>
      </w:r>
      <w:r w:rsidR="00B0628F">
        <w:t xml:space="preserve">full </w:t>
      </w:r>
      <w:r>
        <w:t>version reflecting the current</w:t>
      </w:r>
      <w:r w:rsidR="00A0393B">
        <w:t xml:space="preserve"> </w:t>
      </w:r>
      <w:r w:rsidR="00B0628F">
        <w:t xml:space="preserve">or proposed </w:t>
      </w:r>
      <w:r w:rsidR="00A0393B">
        <w:t xml:space="preserve">legal </w:t>
      </w:r>
      <w:r w:rsidR="00B0628F">
        <w:t>requirement</w:t>
      </w:r>
    </w:p>
    <w:p w:rsidR="00BF2A78" w:rsidRDefault="00FE06B9" w:rsidP="00B0628F">
      <w:pPr>
        <w:pStyle w:val="ListParagraph"/>
        <w:numPr>
          <w:ilvl w:val="0"/>
          <w:numId w:val="3"/>
        </w:numPr>
      </w:pPr>
      <w:r>
        <w:t>an edited alternative focusing on critical information only</w:t>
      </w:r>
      <w:r w:rsidR="003734C7">
        <w:t xml:space="preserve"> (see figures 1 and 2</w:t>
      </w:r>
      <w:r w:rsidR="000E5BE7">
        <w:t xml:space="preserve"> below</w:t>
      </w:r>
      <w:r w:rsidR="003734C7">
        <w:t>)</w:t>
      </w:r>
    </w:p>
    <w:p w:rsidR="000E5BE7" w:rsidRDefault="00004D6E" w:rsidP="00BF2A78">
      <w:r w:rsidRPr="00004D6E">
        <w:rPr>
          <w:noProof/>
          <w:lang w:eastAsia="en-GB"/>
        </w:rPr>
        <w:lastRenderedPageBreak/>
        <w:drawing>
          <wp:inline distT="0" distB="0" distL="0" distR="0" wp14:anchorId="411AE974" wp14:editId="407ADD62">
            <wp:extent cx="4114800" cy="2314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5374" cy="2314898"/>
                    </a:xfrm>
                    <a:prstGeom prst="rect">
                      <a:avLst/>
                    </a:prstGeom>
                  </pic:spPr>
                </pic:pic>
              </a:graphicData>
            </a:graphic>
          </wp:inline>
        </w:drawing>
      </w:r>
    </w:p>
    <w:p w:rsidR="00250173" w:rsidRDefault="00250173" w:rsidP="00BF2A78"/>
    <w:p w:rsidR="000E5BE7" w:rsidRDefault="00832C74" w:rsidP="00BF2A78">
      <w:r w:rsidRPr="00832C74">
        <w:rPr>
          <w:noProof/>
          <w:lang w:eastAsia="en-GB"/>
        </w:rPr>
        <w:drawing>
          <wp:inline distT="0" distB="0" distL="0" distR="0" wp14:anchorId="0CCB725D" wp14:editId="73EF0C82">
            <wp:extent cx="4148667" cy="23336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3641" cy="2336423"/>
                    </a:xfrm>
                    <a:prstGeom prst="rect">
                      <a:avLst/>
                    </a:prstGeom>
                  </pic:spPr>
                </pic:pic>
              </a:graphicData>
            </a:graphic>
          </wp:inline>
        </w:drawing>
      </w:r>
    </w:p>
    <w:p w:rsidR="000E5BE7" w:rsidRDefault="000E5BE7" w:rsidP="00BF2A78"/>
    <w:p w:rsidR="00BF2A78" w:rsidRDefault="00004D6E" w:rsidP="00BF2A78">
      <w:r>
        <w:t>T</w:t>
      </w:r>
      <w:r w:rsidR="00AD3E8B">
        <w:t>he sa</w:t>
      </w:r>
      <w:r w:rsidR="00A0393B">
        <w:t xml:space="preserve">mple </w:t>
      </w:r>
      <w:r w:rsidR="00B869E8">
        <w:t>was divided into 2 groups</w:t>
      </w:r>
      <w:r>
        <w:t>, with each respondent being played two ad</w:t>
      </w:r>
      <w:r w:rsidR="00F974E7">
        <w:t>verts</w:t>
      </w:r>
      <w:r>
        <w:t xml:space="preserve"> – a consumer credit ad</w:t>
      </w:r>
      <w:r w:rsidR="00F974E7">
        <w:t>vert</w:t>
      </w:r>
      <w:r>
        <w:t xml:space="preserve"> and a payday loan </w:t>
      </w:r>
      <w:r w:rsidR="00FA3671">
        <w:t>ad</w:t>
      </w:r>
      <w:r w:rsidR="00F974E7">
        <w:t>vert</w:t>
      </w:r>
      <w:r w:rsidR="00FA3671">
        <w:t>. This was to avoid any priming resulting from respondents hearing two different variations of the same ad</w:t>
      </w:r>
      <w:r w:rsidR="00F974E7">
        <w:t>vert:</w:t>
      </w:r>
    </w:p>
    <w:p w:rsidR="00250173" w:rsidRDefault="00250173" w:rsidP="00BF2A78">
      <w:r>
        <w:rPr>
          <w:noProof/>
          <w:lang w:eastAsia="en-GB"/>
        </w:rPr>
        <mc:AlternateContent>
          <mc:Choice Requires="wps">
            <w:drawing>
              <wp:anchor distT="0" distB="0" distL="114300" distR="114300" simplePos="0" relativeHeight="251659264" behindDoc="0" locked="0" layoutInCell="1" allowOverlap="1" wp14:anchorId="6136C64D" wp14:editId="0D626E84">
                <wp:simplePos x="0" y="0"/>
                <wp:positionH relativeFrom="column">
                  <wp:posOffset>0</wp:posOffset>
                </wp:positionH>
                <wp:positionV relativeFrom="paragraph">
                  <wp:posOffset>295275</wp:posOffset>
                </wp:positionV>
                <wp:extent cx="3162300" cy="2305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62300" cy="2305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23.25pt;width:249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VsdwIAAEUFAAAOAAAAZHJzL2Uyb0RvYy54bWysVFFPGzEMfp+0/xDlfdy1BcYqrqgCMU1C&#10;UAETzyGX9E5K4sxJe+1+/Zzc9UCA9jCtlXJObH+2v9g5v9hZw7YKQwuu4pOjkjPlJNStW1f85+P1&#10;lzPOQhSuFgacqvheBX6x+PzpvPNzNYUGTK2QEYgL885XvInRz4siyEZZEY7AK0dKDWhFpC2uixpF&#10;R+jWFNOyPC06wNojSBUCnV71Sr7I+ForGe+0DioyU3HKLeYV8/qc1mJxLuZrFL5p5ZCG+IcsrGgd&#10;BR2hrkQUbIPtOyjbSoQAOh5JsAVo3UqVa6BqJuWbah4a4VWuhcgJfqQp/D9YebtdIWvris84c8LS&#10;Fd0TacKtjWKzRE/nw5ysHvwKh10gMdW602jTl6pgu0zpfqRU7SKTdDibnE5nJTEvSUfSCf0TavHi&#10;7jHE7wosS0LFkcJnKsX2JsTe9GCSojm4bo1J5ymzPpcsxb1RycC4e6WpJIo+zUC5mdSlQbYV1AZC&#10;SuXipFc1olb98UlJvyG10SMnmgETsqbAI/YAkBr1PXaf9mCfXFXuxdG5/FtivfPokSODi6OzbR3g&#10;RwCGqhoi9/YHknpqEkvPUO/pwhH6SQheXrdE+40IcSWQWp+uisY53tGiDXQVh0HirAH8/dF5sqeO&#10;JC1nHY1SxcOvjUDFmfnhqFe/TY6P0+zlzfHJ1ylt8LXm+bXGbewl0DVN6OHwMovJPpqDqBHsE039&#10;MkUllXCSYldcRjxsLmM/4vRuSLVcZjOaNy/ijXvwMoEnVlNbPe6eBPqh9yK17S0cxk7M37Rgb5s8&#10;HSw3EXSb+/OF14FvmtXcOMO7kh6D1/ts9fL6Lf4AAAD//wMAUEsDBBQABgAIAAAAIQCUDqeg3wAA&#10;AAcBAAAPAAAAZHJzL2Rvd25yZXYueG1sTI9PT8JAEMXvJn6HzZh4k60GCNRuCZJ48k9Sqibelt2x&#10;LXRnm+4C1U/PcMLbvHmT936TLQbXigP2ofGk4H6UgEAy3jZUKfgon+9mIELUZHXrCRX8YoBFfn2V&#10;6dT6IxV4WMdKcAiFVCuoY+xSKYOp0ekw8h0Sez++dzqy7Ctpe33kcNfKhySZSqcb4oZad7iq0ezW&#10;e6cAP7+2xd/3i3l/NUtf0CqWT+WbUrc3w/IRRMQhXo7hjM/okDPTxu/JBtEq4EeigvF0AoLd8XzG&#10;iw0PyXwCMs/kf/78BAAA//8DAFBLAQItABQABgAIAAAAIQC2gziS/gAAAOEBAAATAAAAAAAAAAAA&#10;AAAAAAAAAABbQ29udGVudF9UeXBlc10ueG1sUEsBAi0AFAAGAAgAAAAhADj9If/WAAAAlAEAAAsA&#10;AAAAAAAAAAAAAAAALwEAAF9yZWxzLy5yZWxzUEsBAi0AFAAGAAgAAAAhAPkMVWx3AgAARQUAAA4A&#10;AAAAAAAAAAAAAAAALgIAAGRycy9lMm9Eb2MueG1sUEsBAi0AFAAGAAgAAAAhAJQOp6DfAAAABwEA&#10;AA8AAAAAAAAAAAAAAAAA0QQAAGRycy9kb3ducmV2LnhtbFBLBQYAAAAABAAEAPMAAADdBQAAAAA=&#10;" filled="f" strokecolor="#243f60 [1604]" strokeweight="2pt"/>
            </w:pict>
          </mc:Fallback>
        </mc:AlternateContent>
      </w:r>
    </w:p>
    <w:p w:rsidR="00F974E7" w:rsidRPr="00F974E7" w:rsidRDefault="00F974E7" w:rsidP="007D25BC">
      <w:pPr>
        <w:ind w:firstLine="360"/>
        <w:rPr>
          <w:b/>
        </w:rPr>
      </w:pPr>
      <w:r w:rsidRPr="00F974E7">
        <w:rPr>
          <w:b/>
        </w:rPr>
        <w:t>Copy rotation schedule</w:t>
      </w:r>
    </w:p>
    <w:p w:rsidR="00BF2A78" w:rsidRDefault="00BF2A78" w:rsidP="007D25BC">
      <w:pPr>
        <w:ind w:firstLine="360"/>
      </w:pPr>
      <w:r w:rsidRPr="00BF2A78">
        <w:rPr>
          <w:u w:val="single"/>
        </w:rPr>
        <w:t>Group 1</w:t>
      </w:r>
      <w:r>
        <w:t xml:space="preserve"> </w:t>
      </w:r>
    </w:p>
    <w:p w:rsidR="000E123E" w:rsidRDefault="00AD3E8B" w:rsidP="00B72770">
      <w:pPr>
        <w:pStyle w:val="ListParagraph"/>
        <w:numPr>
          <w:ilvl w:val="0"/>
          <w:numId w:val="3"/>
        </w:numPr>
      </w:pPr>
      <w:r>
        <w:t>Payday loan ad with shorter tag</w:t>
      </w:r>
    </w:p>
    <w:p w:rsidR="00F974E7" w:rsidRDefault="00AD3E8B" w:rsidP="00F974E7">
      <w:pPr>
        <w:pStyle w:val="ListParagraph"/>
        <w:numPr>
          <w:ilvl w:val="0"/>
          <w:numId w:val="3"/>
        </w:numPr>
      </w:pPr>
      <w:r>
        <w:t>Consumer credit ad with shorter tag</w:t>
      </w:r>
    </w:p>
    <w:p w:rsidR="00BF2A78" w:rsidRPr="00BF2A78" w:rsidRDefault="00BF2A78" w:rsidP="007D25BC">
      <w:pPr>
        <w:ind w:firstLine="360"/>
        <w:rPr>
          <w:u w:val="single"/>
        </w:rPr>
      </w:pPr>
      <w:r w:rsidRPr="00BF2A78">
        <w:rPr>
          <w:u w:val="single"/>
        </w:rPr>
        <w:t>Group 2</w:t>
      </w:r>
    </w:p>
    <w:p w:rsidR="00B72770" w:rsidRDefault="00AD3E8B" w:rsidP="000E123E">
      <w:pPr>
        <w:pStyle w:val="ListParagraph"/>
        <w:numPr>
          <w:ilvl w:val="0"/>
          <w:numId w:val="3"/>
        </w:numPr>
      </w:pPr>
      <w:r>
        <w:t>Payday loan ad with longer tag</w:t>
      </w:r>
    </w:p>
    <w:p w:rsidR="00BF2A78" w:rsidRDefault="00AD3E8B" w:rsidP="000E123E">
      <w:pPr>
        <w:pStyle w:val="ListParagraph"/>
        <w:numPr>
          <w:ilvl w:val="0"/>
          <w:numId w:val="3"/>
        </w:numPr>
      </w:pPr>
      <w:r>
        <w:t>Consumer credit ad with longer tag</w:t>
      </w:r>
    </w:p>
    <w:p w:rsidR="00F974E7" w:rsidRPr="00F974E7" w:rsidRDefault="00F974E7" w:rsidP="00F974E7">
      <w:pPr>
        <w:ind w:left="360"/>
        <w:rPr>
          <w:i/>
        </w:rPr>
      </w:pPr>
      <w:r w:rsidRPr="00F974E7">
        <w:rPr>
          <w:i/>
        </w:rPr>
        <w:t>Ads rotated evenly within each group</w:t>
      </w:r>
    </w:p>
    <w:p w:rsidR="00F974E7" w:rsidRDefault="00F974E7" w:rsidP="000E123E"/>
    <w:p w:rsidR="00A0393B" w:rsidRDefault="00FA3671" w:rsidP="000E123E">
      <w:r>
        <w:t>After hearing each ad</w:t>
      </w:r>
      <w:r w:rsidR="00F974E7">
        <w:t>vert</w:t>
      </w:r>
      <w:r>
        <w:t xml:space="preserve"> respondents were asked a series of questions</w:t>
      </w:r>
      <w:r w:rsidR="00A0393B">
        <w:t xml:space="preserve"> relating to their perceptions of the ad as a whole followed by more specific questions about the </w:t>
      </w:r>
      <w:r>
        <w:t>terms and</w:t>
      </w:r>
      <w:r w:rsidR="00F974E7">
        <w:t xml:space="preserve"> conditions</w:t>
      </w:r>
      <w:r>
        <w:t>.</w:t>
      </w:r>
    </w:p>
    <w:p w:rsidR="00832C74" w:rsidRDefault="00832C74" w:rsidP="00FA3671">
      <w:pPr>
        <w:rPr>
          <w:b/>
        </w:rPr>
      </w:pPr>
    </w:p>
    <w:p w:rsidR="005E5BF1" w:rsidRPr="00FA3671" w:rsidRDefault="005E5BF1" w:rsidP="00FA3671">
      <w:pPr>
        <w:rPr>
          <w:b/>
        </w:rPr>
      </w:pPr>
      <w:r w:rsidRPr="007D25BC">
        <w:rPr>
          <w:b/>
        </w:rPr>
        <w:t>RESULTS</w:t>
      </w:r>
      <w:r w:rsidR="00CD1709">
        <w:rPr>
          <w:b/>
        </w:rPr>
        <w:t xml:space="preserve"> - </w:t>
      </w:r>
      <w:r w:rsidR="000D4D11" w:rsidRPr="00FA3671">
        <w:rPr>
          <w:b/>
        </w:rPr>
        <w:t>CONSUMER CREDIT AD</w:t>
      </w:r>
    </w:p>
    <w:p w:rsidR="007D25BC" w:rsidRPr="00A0393B" w:rsidRDefault="0066348B" w:rsidP="007D25BC">
      <w:pPr>
        <w:rPr>
          <w:b/>
        </w:rPr>
      </w:pPr>
      <w:proofErr w:type="gramStart"/>
      <w:r>
        <w:rPr>
          <w:b/>
        </w:rPr>
        <w:t>Finding 1.</w:t>
      </w:r>
      <w:proofErr w:type="gramEnd"/>
      <w:r>
        <w:rPr>
          <w:b/>
        </w:rPr>
        <w:t xml:space="preserve"> </w:t>
      </w:r>
      <w:r w:rsidR="00FA3671">
        <w:rPr>
          <w:b/>
        </w:rPr>
        <w:t>The edited version of the consumer credit ad was more likely to positively engage listeners.</w:t>
      </w:r>
    </w:p>
    <w:p w:rsidR="00A0393B" w:rsidRDefault="00A0393B" w:rsidP="00A0393B">
      <w:r>
        <w:t>The % of listeners who strongly agreed with statements such as “I would listen to it”, “speaks my language”  and “made me feel positive about the brand</w:t>
      </w:r>
      <w:r w:rsidR="00FA3671">
        <w:t>” were</w:t>
      </w:r>
      <w:r w:rsidR="00D463F8">
        <w:t xml:space="preserve"> high</w:t>
      </w:r>
      <w:r w:rsidR="00FA3671">
        <w:t>er when listeners were exposed to the edited version (+13% relative increase).</w:t>
      </w:r>
      <w:r>
        <w:t xml:space="preserve"> </w:t>
      </w:r>
    </w:p>
    <w:p w:rsidR="00F34188" w:rsidRPr="008D7768" w:rsidRDefault="0066348B" w:rsidP="00F34188">
      <w:pPr>
        <w:rPr>
          <w:b/>
        </w:rPr>
      </w:pPr>
      <w:proofErr w:type="gramStart"/>
      <w:r>
        <w:rPr>
          <w:b/>
        </w:rPr>
        <w:t>Finding 2.</w:t>
      </w:r>
      <w:proofErr w:type="gramEnd"/>
      <w:r>
        <w:rPr>
          <w:b/>
        </w:rPr>
        <w:t xml:space="preserve"> </w:t>
      </w:r>
      <w:r w:rsidR="00FA3671">
        <w:rPr>
          <w:b/>
        </w:rPr>
        <w:t>The full credit version was over 50% more likely to annoy listeners</w:t>
      </w:r>
      <w:r w:rsidR="00F34188" w:rsidRPr="008D7768">
        <w:rPr>
          <w:b/>
        </w:rPr>
        <w:t xml:space="preserve"> </w:t>
      </w:r>
    </w:p>
    <w:p w:rsidR="000D4D11" w:rsidRDefault="00A0393B" w:rsidP="008D7768">
      <w:r>
        <w:t xml:space="preserve">Respondents were over 50% more likely to strongly agree that they found the ad annoying when exposed to the </w:t>
      </w:r>
      <w:r w:rsidR="00FA3671">
        <w:t>full credit example</w:t>
      </w:r>
      <w:r w:rsidR="00F974E7">
        <w:t xml:space="preserve"> (fig 3)</w:t>
      </w:r>
      <w:r>
        <w:t>.</w:t>
      </w:r>
      <w:r w:rsidR="00551675">
        <w:t xml:space="preserve"> </w:t>
      </w:r>
      <w:r w:rsidR="00BA315B">
        <w:t>Although respondents were being asked about the advert as a whole, the</w:t>
      </w:r>
      <w:r w:rsidR="00551675">
        <w:t xml:space="preserve"> only difference between the two </w:t>
      </w:r>
      <w:r w:rsidR="00AD3E8B">
        <w:t xml:space="preserve">executions is the </w:t>
      </w:r>
      <w:proofErr w:type="spellStart"/>
      <w:r w:rsidR="00AD3E8B">
        <w:t>ts</w:t>
      </w:r>
      <w:proofErr w:type="spellEnd"/>
      <w:r w:rsidR="00AD3E8B">
        <w:t xml:space="preserve"> and </w:t>
      </w:r>
      <w:proofErr w:type="spellStart"/>
      <w:r w:rsidR="00AD3E8B">
        <w:t>cs</w:t>
      </w:r>
      <w:proofErr w:type="spellEnd"/>
      <w:r w:rsidR="00AD3E8B">
        <w:t xml:space="preserve"> </w:t>
      </w:r>
      <w:r w:rsidR="00BA315B">
        <w:t>so we</w:t>
      </w:r>
      <w:r w:rsidR="00AD3E8B">
        <w:t xml:space="preserve"> can assume that this difference is purely down to the latter.</w:t>
      </w:r>
      <w:r w:rsidR="00551675">
        <w:t xml:space="preserve"> </w:t>
      </w:r>
    </w:p>
    <w:p w:rsidR="00B869E8" w:rsidRDefault="00710167" w:rsidP="008D7768">
      <w:r w:rsidRPr="00710167">
        <w:rPr>
          <w:noProof/>
          <w:lang w:eastAsia="en-GB"/>
        </w:rPr>
        <w:drawing>
          <wp:inline distT="0" distB="0" distL="0" distR="0" wp14:anchorId="4391B584" wp14:editId="47ED7021">
            <wp:extent cx="4572638" cy="2572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2572109"/>
                    </a:xfrm>
                    <a:prstGeom prst="rect">
                      <a:avLst/>
                    </a:prstGeom>
                  </pic:spPr>
                </pic:pic>
              </a:graphicData>
            </a:graphic>
          </wp:inline>
        </w:drawing>
      </w:r>
    </w:p>
    <w:p w:rsidR="00F34188" w:rsidRDefault="00C83BFC" w:rsidP="008D7768">
      <w:r>
        <w:t>T</w:t>
      </w:r>
      <w:r w:rsidR="00FA3671">
        <w:t>h</w:t>
      </w:r>
      <w:r w:rsidR="00F974E7">
        <w:t xml:space="preserve">e extent to which </w:t>
      </w:r>
      <w:r w:rsidR="00A47033">
        <w:t>adverts</w:t>
      </w:r>
      <w:r w:rsidR="00BA315B">
        <w:t xml:space="preserve"> are seen as </w:t>
      </w:r>
      <w:proofErr w:type="gramStart"/>
      <w:r w:rsidR="00BA315B">
        <w:t xml:space="preserve">annoying </w:t>
      </w:r>
      <w:r w:rsidR="00AF2F89">
        <w:t xml:space="preserve"> is</w:t>
      </w:r>
      <w:proofErr w:type="gramEnd"/>
      <w:r w:rsidR="00AF2F89">
        <w:t xml:space="preserve"> an indication</w:t>
      </w:r>
      <w:r w:rsidR="00F974E7">
        <w:t xml:space="preserve"> of how much listeners are likely to switch off or zone out rather than pay attention</w:t>
      </w:r>
      <w:r w:rsidR="00A47033">
        <w:t xml:space="preserve"> to them, thus defeating the primary purpose of the terms and conditions which is to inform consumers of the </w:t>
      </w:r>
      <w:r w:rsidR="00AF2F89">
        <w:t xml:space="preserve">essential </w:t>
      </w:r>
      <w:r w:rsidR="00A47033">
        <w:t>information</w:t>
      </w:r>
      <w:r w:rsidR="00250173">
        <w:t>.</w:t>
      </w:r>
      <w:r w:rsidR="00BA315B">
        <w:t xml:space="preserve"> This reinforces previous research findings e.g. the Navigator study.</w:t>
      </w:r>
    </w:p>
    <w:p w:rsidR="008D7768" w:rsidRPr="00BD192B" w:rsidRDefault="0066348B" w:rsidP="008D7768">
      <w:pPr>
        <w:rPr>
          <w:b/>
        </w:rPr>
      </w:pPr>
      <w:proofErr w:type="gramStart"/>
      <w:r>
        <w:rPr>
          <w:b/>
        </w:rPr>
        <w:t>Finding 3.</w:t>
      </w:r>
      <w:proofErr w:type="gramEnd"/>
      <w:r>
        <w:rPr>
          <w:b/>
        </w:rPr>
        <w:t xml:space="preserve"> </w:t>
      </w:r>
      <w:r w:rsidR="008D7768" w:rsidRPr="00BD192B">
        <w:rPr>
          <w:b/>
        </w:rPr>
        <w:t xml:space="preserve">The </w:t>
      </w:r>
      <w:r w:rsidR="00C83BFC">
        <w:rPr>
          <w:b/>
        </w:rPr>
        <w:t xml:space="preserve">edited version </w:t>
      </w:r>
      <w:r w:rsidR="00466C09" w:rsidRPr="00BD192B">
        <w:rPr>
          <w:b/>
        </w:rPr>
        <w:t xml:space="preserve">landed </w:t>
      </w:r>
      <w:r w:rsidR="008D7768" w:rsidRPr="00BD192B">
        <w:rPr>
          <w:b/>
        </w:rPr>
        <w:t>key information more effectively</w:t>
      </w:r>
    </w:p>
    <w:p w:rsidR="005F0CD3" w:rsidRDefault="00710167" w:rsidP="008D7768">
      <w:r>
        <w:t xml:space="preserve">Both </w:t>
      </w:r>
      <w:r w:rsidR="00A47033">
        <w:t>executions</w:t>
      </w:r>
      <w:r>
        <w:t xml:space="preserve"> were s</w:t>
      </w:r>
      <w:r w:rsidR="008D7768">
        <w:t xml:space="preserve">een as </w:t>
      </w:r>
      <w:r w:rsidR="00BD192B">
        <w:t xml:space="preserve">equally </w:t>
      </w:r>
      <w:r>
        <w:t xml:space="preserve">“informative”. However </w:t>
      </w:r>
      <w:r w:rsidR="008D7768">
        <w:t xml:space="preserve">the </w:t>
      </w:r>
      <w:r w:rsidR="00C83BFC">
        <w:t>edited version</w:t>
      </w:r>
      <w:r>
        <w:t xml:space="preserve"> </w:t>
      </w:r>
      <w:r w:rsidR="00C83BFC">
        <w:t xml:space="preserve">which </w:t>
      </w:r>
      <w:r>
        <w:t>focused on the critical information</w:t>
      </w:r>
      <w:r w:rsidR="00B40A87">
        <w:t xml:space="preserve"> </w:t>
      </w:r>
      <w:r>
        <w:t xml:space="preserve">only </w:t>
      </w:r>
      <w:r w:rsidR="00B40A87">
        <w:t xml:space="preserve">was </w:t>
      </w:r>
      <w:r w:rsidR="009D2B04">
        <w:t>30%</w:t>
      </w:r>
      <w:r w:rsidR="00B40A87">
        <w:t xml:space="preserve"> more likely to be seen </w:t>
      </w:r>
      <w:r w:rsidR="00BD192B">
        <w:t>“</w:t>
      </w:r>
      <w:r w:rsidR="00B40A87">
        <w:t>as clear and easy to follow</w:t>
      </w:r>
      <w:r w:rsidR="00BD192B">
        <w:t>”</w:t>
      </w:r>
      <w:r w:rsidR="008D7768">
        <w:t xml:space="preserve">. </w:t>
      </w:r>
      <w:r w:rsidR="005F0CD3">
        <w:t xml:space="preserve"> </w:t>
      </w:r>
      <w:r w:rsidR="00BD192B">
        <w:t>Also, whilst in both cases hi</w:t>
      </w:r>
      <w:r w:rsidR="005F0CD3">
        <w:t>gh numbers</w:t>
      </w:r>
      <w:r w:rsidR="00BD192B">
        <w:t xml:space="preserve"> of respondents</w:t>
      </w:r>
      <w:r w:rsidR="005F0CD3">
        <w:t xml:space="preserve"> (over 70%) had noticed the t</w:t>
      </w:r>
      <w:r w:rsidR="009D2B04">
        <w:t>erms and conditions, the edited version was 17% more likely to be seen as helpful.</w:t>
      </w:r>
    </w:p>
    <w:p w:rsidR="00B869E8" w:rsidRDefault="00710167" w:rsidP="008D7768">
      <w:r w:rsidRPr="00710167">
        <w:rPr>
          <w:noProof/>
          <w:lang w:eastAsia="en-GB"/>
        </w:rPr>
        <w:lastRenderedPageBreak/>
        <w:drawing>
          <wp:inline distT="0" distB="0" distL="0" distR="0" wp14:anchorId="01EDE723" wp14:editId="1EC8CCDC">
            <wp:extent cx="4572638" cy="25721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2572109"/>
                    </a:xfrm>
                    <a:prstGeom prst="rect">
                      <a:avLst/>
                    </a:prstGeom>
                  </pic:spPr>
                </pic:pic>
              </a:graphicData>
            </a:graphic>
          </wp:inline>
        </w:drawing>
      </w:r>
    </w:p>
    <w:p w:rsidR="00D33575" w:rsidRDefault="009D2B04" w:rsidP="008D7768">
      <w:r>
        <w:t>Finally, when</w:t>
      </w:r>
      <w:r w:rsidR="00074491">
        <w:t xml:space="preserve"> respondents were asked what they remembered about the terms and </w:t>
      </w:r>
      <w:r>
        <w:t xml:space="preserve">conditions, they were twice as likely to be able to quote the total cost of credit when they had heard the edited version compared to the full version. </w:t>
      </w:r>
      <w:r w:rsidR="00C521C1">
        <w:rPr>
          <w:noProof/>
          <w:lang w:eastAsia="en-GB"/>
        </w:rPr>
        <w:drawing>
          <wp:inline distT="0" distB="0" distL="0" distR="0" wp14:anchorId="3E3EB54B">
            <wp:extent cx="4572000" cy="2571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pic:spPr>
                </pic:pic>
              </a:graphicData>
            </a:graphic>
          </wp:inline>
        </w:drawing>
      </w:r>
    </w:p>
    <w:p w:rsidR="00D56F0D" w:rsidRDefault="00D56F0D">
      <w:pPr>
        <w:rPr>
          <w:b/>
        </w:rPr>
      </w:pPr>
    </w:p>
    <w:p w:rsidR="009D2B04" w:rsidRPr="009D2B04" w:rsidRDefault="009D2B04" w:rsidP="000E123E">
      <w:r w:rsidRPr="009D2B04">
        <w:t>Note however that in neither case does the percentage of those quoting back the tota</w:t>
      </w:r>
      <w:r w:rsidR="00250173">
        <w:t xml:space="preserve">l cost of credit rise above 10% - previous research has suggested </w:t>
      </w:r>
      <w:proofErr w:type="gramStart"/>
      <w:r w:rsidR="00250173">
        <w:t>that  consumers</w:t>
      </w:r>
      <w:proofErr w:type="gramEnd"/>
      <w:r w:rsidR="00250173">
        <w:t xml:space="preserve"> are highly unlikely to notice or retain figures.</w:t>
      </w:r>
    </w:p>
    <w:p w:rsidR="00832C74" w:rsidRDefault="00832C74">
      <w:pPr>
        <w:rPr>
          <w:b/>
        </w:rPr>
      </w:pPr>
      <w:r>
        <w:rPr>
          <w:b/>
        </w:rPr>
        <w:br w:type="page"/>
      </w:r>
    </w:p>
    <w:p w:rsidR="005E5BF1" w:rsidRPr="005F0CD3" w:rsidRDefault="00CD1709" w:rsidP="000E123E">
      <w:pPr>
        <w:rPr>
          <w:b/>
        </w:rPr>
      </w:pPr>
      <w:r>
        <w:rPr>
          <w:b/>
        </w:rPr>
        <w:lastRenderedPageBreak/>
        <w:t xml:space="preserve">RESULTS - </w:t>
      </w:r>
      <w:r w:rsidR="005E5BF1" w:rsidRPr="005F0CD3">
        <w:rPr>
          <w:b/>
        </w:rPr>
        <w:t>PAYDAY LOAN</w:t>
      </w:r>
      <w:r w:rsidR="003F575C" w:rsidRPr="005F0CD3">
        <w:rPr>
          <w:b/>
        </w:rPr>
        <w:t xml:space="preserve"> RISK WARNING</w:t>
      </w:r>
    </w:p>
    <w:p w:rsidR="00CD4DE3" w:rsidRDefault="0066348B" w:rsidP="000E123E">
      <w:pPr>
        <w:rPr>
          <w:b/>
        </w:rPr>
      </w:pPr>
      <w:proofErr w:type="gramStart"/>
      <w:r>
        <w:rPr>
          <w:b/>
        </w:rPr>
        <w:t>Finding 1.</w:t>
      </w:r>
      <w:proofErr w:type="gramEnd"/>
      <w:r>
        <w:rPr>
          <w:b/>
        </w:rPr>
        <w:t xml:space="preserve"> </w:t>
      </w:r>
      <w:r w:rsidR="00CD4DE3" w:rsidRPr="00CD4DE3">
        <w:rPr>
          <w:b/>
        </w:rPr>
        <w:t xml:space="preserve">Both executions </w:t>
      </w:r>
      <w:r w:rsidR="00CD4DE3">
        <w:rPr>
          <w:b/>
        </w:rPr>
        <w:t xml:space="preserve">engaged listeners </w:t>
      </w:r>
      <w:r w:rsidR="00074491">
        <w:rPr>
          <w:b/>
        </w:rPr>
        <w:t>equally</w:t>
      </w:r>
    </w:p>
    <w:p w:rsidR="00CD4DE3" w:rsidRDefault="00CD4DE3" w:rsidP="000E123E">
      <w:r>
        <w:t xml:space="preserve">We saw little difference in key measures </w:t>
      </w:r>
      <w:r w:rsidR="00522626">
        <w:t xml:space="preserve">such as </w:t>
      </w:r>
      <w:r>
        <w:t>“I would listen to it”</w:t>
      </w:r>
      <w:r w:rsidR="0066348B">
        <w:t>,</w:t>
      </w:r>
      <w:r>
        <w:t xml:space="preserve"> “speaks my language” a</w:t>
      </w:r>
      <w:r w:rsidR="0066348B">
        <w:t>nd</w:t>
      </w:r>
      <w:r>
        <w:t xml:space="preserve"> “makes me feel positive about the brand”</w:t>
      </w:r>
      <w:r w:rsidR="00D56F0D">
        <w:t>. The same was true for how many</w:t>
      </w:r>
      <w:r>
        <w:t xml:space="preserve"> people saw the ads as “annoying”</w:t>
      </w:r>
      <w:r w:rsidR="00806CC1">
        <w:t xml:space="preserve"> (figure 6). Th</w:t>
      </w:r>
      <w:r w:rsidR="0066348B">
        <w:t>e fact that both executions use consumer-friendly language will have contributed to this.</w:t>
      </w:r>
    </w:p>
    <w:p w:rsidR="00D56F0D" w:rsidRDefault="00522626" w:rsidP="000E123E">
      <w:r w:rsidRPr="00522626">
        <w:rPr>
          <w:noProof/>
          <w:lang w:eastAsia="en-GB"/>
        </w:rPr>
        <w:t xml:space="preserve"> </w:t>
      </w:r>
      <w:r w:rsidR="00806CC1">
        <w:rPr>
          <w:noProof/>
          <w:lang w:eastAsia="en-GB"/>
        </w:rPr>
        <w:drawing>
          <wp:inline distT="0" distB="0" distL="0" distR="0" wp14:anchorId="7A4B8485">
            <wp:extent cx="4171950" cy="234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2980" cy="2347555"/>
                    </a:xfrm>
                    <a:prstGeom prst="rect">
                      <a:avLst/>
                    </a:prstGeom>
                    <a:noFill/>
                  </pic:spPr>
                </pic:pic>
              </a:graphicData>
            </a:graphic>
          </wp:inline>
        </w:drawing>
      </w:r>
    </w:p>
    <w:p w:rsidR="00806CC1" w:rsidRDefault="00806CC1" w:rsidP="000E123E"/>
    <w:p w:rsidR="00402984" w:rsidRPr="00B076BA" w:rsidRDefault="0066348B" w:rsidP="000E123E">
      <w:pPr>
        <w:rPr>
          <w:b/>
        </w:rPr>
      </w:pPr>
      <w:proofErr w:type="gramStart"/>
      <w:r>
        <w:rPr>
          <w:b/>
        </w:rPr>
        <w:t>Finding 2.</w:t>
      </w:r>
      <w:proofErr w:type="gramEnd"/>
      <w:r>
        <w:rPr>
          <w:b/>
        </w:rPr>
        <w:t xml:space="preserve"> T</w:t>
      </w:r>
      <w:r w:rsidR="00D56F0D">
        <w:rPr>
          <w:b/>
        </w:rPr>
        <w:t xml:space="preserve">he </w:t>
      </w:r>
      <w:r w:rsidR="00806CC1">
        <w:rPr>
          <w:b/>
        </w:rPr>
        <w:t>more focused execution</w:t>
      </w:r>
      <w:r w:rsidR="00B076BA" w:rsidRPr="00B076BA">
        <w:rPr>
          <w:b/>
        </w:rPr>
        <w:t xml:space="preserve"> landed </w:t>
      </w:r>
      <w:r>
        <w:rPr>
          <w:b/>
        </w:rPr>
        <w:t xml:space="preserve">the most </w:t>
      </w:r>
      <w:r w:rsidR="00B076BA" w:rsidRPr="00B076BA">
        <w:rPr>
          <w:b/>
        </w:rPr>
        <w:t>important messages more effectively</w:t>
      </w:r>
    </w:p>
    <w:p w:rsidR="005E5BF1" w:rsidRDefault="00074491" w:rsidP="00402984">
      <w:r>
        <w:t xml:space="preserve">Both executions </w:t>
      </w:r>
      <w:r w:rsidR="0066348B">
        <w:t xml:space="preserve">were seen as </w:t>
      </w:r>
      <w:r w:rsidR="00BA315B">
        <w:t>“</w:t>
      </w:r>
      <w:r w:rsidR="0066348B">
        <w:t>informative</w:t>
      </w:r>
      <w:r w:rsidR="00BA315B">
        <w:t>”</w:t>
      </w:r>
      <w:r w:rsidR="0066348B">
        <w:t xml:space="preserve"> and </w:t>
      </w:r>
      <w:r w:rsidR="00BA315B">
        <w:t>“</w:t>
      </w:r>
      <w:r w:rsidR="0066348B">
        <w:t xml:space="preserve">clear/easy </w:t>
      </w:r>
      <w:r w:rsidR="00D56F0D">
        <w:t>to follow</w:t>
      </w:r>
      <w:r w:rsidR="00BA315B">
        <w:t>”</w:t>
      </w:r>
      <w:r w:rsidR="00D463F8">
        <w:t>,</w:t>
      </w:r>
      <w:r w:rsidR="00D56F0D">
        <w:t xml:space="preserve"> again reflecting the clear, simple language</w:t>
      </w:r>
      <w:r w:rsidR="00BA315B">
        <w:t xml:space="preserve"> used</w:t>
      </w:r>
      <w:r w:rsidR="00D56F0D">
        <w:t>.</w:t>
      </w:r>
      <w:r>
        <w:t xml:space="preserve"> But when respondents </w:t>
      </w:r>
      <w:r w:rsidR="0066348B">
        <w:t>were</w:t>
      </w:r>
      <w:r>
        <w:t xml:space="preserve"> asked about what they remembered a</w:t>
      </w:r>
      <w:r w:rsidR="004B074C">
        <w:t>bout what the terms and conditions were saying</w:t>
      </w:r>
      <w:r w:rsidR="0066348B">
        <w:t>,</w:t>
      </w:r>
      <w:r w:rsidR="004B074C">
        <w:t xml:space="preserve"> </w:t>
      </w:r>
      <w:r>
        <w:t xml:space="preserve">a different pattern </w:t>
      </w:r>
      <w:r w:rsidR="0066348B">
        <w:t>beg</w:t>
      </w:r>
      <w:r w:rsidR="00BA315B">
        <w:t>an</w:t>
      </w:r>
      <w:r w:rsidR="0066348B">
        <w:t xml:space="preserve"> to emerge</w:t>
      </w:r>
      <w:r>
        <w:t>.</w:t>
      </w:r>
    </w:p>
    <w:p w:rsidR="00B076BA" w:rsidRDefault="00B076BA" w:rsidP="00B076BA">
      <w:r>
        <w:t xml:space="preserve">Two </w:t>
      </w:r>
      <w:r w:rsidR="00806CC1">
        <w:t>important</w:t>
      </w:r>
      <w:r>
        <w:t xml:space="preserve"> messages </w:t>
      </w:r>
      <w:r w:rsidR="00074491">
        <w:t>st</w:t>
      </w:r>
      <w:r w:rsidR="00BA315B">
        <w:t>ood out</w:t>
      </w:r>
      <w:r w:rsidR="00074491">
        <w:t xml:space="preserve"> when listeners </w:t>
      </w:r>
      <w:r w:rsidR="00F920FB">
        <w:t>were</w:t>
      </w:r>
      <w:r w:rsidR="00074491">
        <w:t xml:space="preserve"> exposed to the </w:t>
      </w:r>
      <w:r w:rsidR="00806CC1">
        <w:t xml:space="preserve">more focused execution: </w:t>
      </w:r>
      <w:r w:rsidR="00D463F8">
        <w:t xml:space="preserve"> – “Can you afford to pay back this</w:t>
      </w:r>
      <w:r w:rsidR="00806CC1">
        <w:t xml:space="preserve"> loan</w:t>
      </w:r>
      <w:r w:rsidR="00D463F8">
        <w:t xml:space="preserve">?” and “Go to </w:t>
      </w:r>
      <w:hyperlink r:id="rId16" w:history="1">
        <w:r w:rsidR="00D463F8" w:rsidRPr="00D76AE0">
          <w:rPr>
            <w:rStyle w:val="Hyperlink"/>
          </w:rPr>
          <w:t>www.moneyadviceservice.org.uk</w:t>
        </w:r>
      </w:hyperlink>
      <w:r w:rsidR="00D463F8">
        <w:t xml:space="preserve"> for free and impartial help”. </w:t>
      </w:r>
      <w:r w:rsidR="00806CC1">
        <w:t xml:space="preserve"> Recall </w:t>
      </w:r>
      <w:r w:rsidR="0066348B">
        <w:t xml:space="preserve">of these messages </w:t>
      </w:r>
      <w:r w:rsidR="00F920FB">
        <w:t>was</w:t>
      </w:r>
      <w:r w:rsidR="00E51922">
        <w:t xml:space="preserve"> 38</w:t>
      </w:r>
      <w:r w:rsidR="0066348B">
        <w:t xml:space="preserve">% higher </w:t>
      </w:r>
      <w:r w:rsidR="00806CC1">
        <w:t xml:space="preserve">than recall of the equivalent messages from the </w:t>
      </w:r>
      <w:r w:rsidR="0066348B">
        <w:t>full version</w:t>
      </w:r>
      <w:r w:rsidR="00806CC1">
        <w:t xml:space="preserve"> (figure 7 below).</w:t>
      </w:r>
    </w:p>
    <w:p w:rsidR="00C14307" w:rsidRDefault="00BB5ED6" w:rsidP="00B076BA">
      <w:r w:rsidRPr="00BB5ED6">
        <w:rPr>
          <w:noProof/>
          <w:lang w:eastAsia="en-GB"/>
        </w:rPr>
        <w:drawing>
          <wp:inline distT="0" distB="0" distL="0" distR="0" wp14:anchorId="2D2B3F22" wp14:editId="6F21C41B">
            <wp:extent cx="3867150" cy="21752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67690" cy="2175576"/>
                    </a:xfrm>
                    <a:prstGeom prst="rect">
                      <a:avLst/>
                    </a:prstGeom>
                  </pic:spPr>
                </pic:pic>
              </a:graphicData>
            </a:graphic>
          </wp:inline>
        </w:drawing>
      </w:r>
    </w:p>
    <w:p w:rsidR="00D463F8" w:rsidRDefault="00D463F8" w:rsidP="00B076BA"/>
    <w:p w:rsidR="0066348B" w:rsidRPr="0066348B" w:rsidRDefault="0066348B" w:rsidP="00B076BA">
      <w:pPr>
        <w:rPr>
          <w:b/>
        </w:rPr>
      </w:pPr>
      <w:r w:rsidRPr="0066348B">
        <w:rPr>
          <w:b/>
        </w:rPr>
        <w:lastRenderedPageBreak/>
        <w:t xml:space="preserve">Finding 3 </w:t>
      </w:r>
      <w:proofErr w:type="gramStart"/>
      <w:r w:rsidRPr="0066348B">
        <w:rPr>
          <w:b/>
        </w:rPr>
        <w:t>-  very</w:t>
      </w:r>
      <w:proofErr w:type="gramEnd"/>
      <w:r w:rsidRPr="0066348B">
        <w:rPr>
          <w:b/>
        </w:rPr>
        <w:t xml:space="preserve"> few people remembered the number quoted</w:t>
      </w:r>
      <w:r>
        <w:rPr>
          <w:b/>
        </w:rPr>
        <w:t xml:space="preserve"> in the full version</w:t>
      </w:r>
    </w:p>
    <w:p w:rsidR="00B076BA" w:rsidRDefault="00832C74" w:rsidP="00B076BA">
      <w:r w:rsidRPr="00832C74">
        <w:t>O</w:t>
      </w:r>
      <w:r w:rsidR="00C14307">
        <w:t>nly 3% of respondents recalled th</w:t>
      </w:r>
      <w:r w:rsidR="00F920FB">
        <w:t>at</w:t>
      </w:r>
      <w:r w:rsidR="00C14307">
        <w:t xml:space="preserve"> 2 million loans which were not paid back</w:t>
      </w:r>
      <w:r w:rsidR="00F920FB">
        <w:t xml:space="preserve"> in 2012</w:t>
      </w:r>
    </w:p>
    <w:p w:rsidR="00832C74" w:rsidRDefault="00832C74" w:rsidP="000E123E">
      <w:pPr>
        <w:rPr>
          <w:b/>
        </w:rPr>
      </w:pPr>
    </w:p>
    <w:p w:rsidR="004B074C" w:rsidRPr="0066348B" w:rsidRDefault="009C47C7" w:rsidP="000E123E">
      <w:pPr>
        <w:rPr>
          <w:b/>
        </w:rPr>
      </w:pPr>
      <w:r w:rsidRPr="0066348B">
        <w:rPr>
          <w:b/>
        </w:rPr>
        <w:t>IN SUMMARY</w:t>
      </w:r>
    </w:p>
    <w:p w:rsidR="00A5358E" w:rsidRDefault="00A5358E" w:rsidP="000E123E">
      <w:r>
        <w:t>Results from this study clearly demonstrate the value of ensuring any legal caveats or risk warnings focus on critical informati</w:t>
      </w:r>
      <w:r w:rsidR="0066348B">
        <w:t>on only in order to ensure that consumer absorb key messages.</w:t>
      </w:r>
      <w:r>
        <w:t>-</w:t>
      </w:r>
    </w:p>
    <w:p w:rsidR="00A5358E" w:rsidRDefault="00A5358E" w:rsidP="000E123E">
      <w:r>
        <w:t>When risk warnings or legal caveats are more focused:-</w:t>
      </w:r>
    </w:p>
    <w:p w:rsidR="00A5358E" w:rsidRDefault="00F920FB" w:rsidP="0066348B">
      <w:pPr>
        <w:pStyle w:val="ListParagraph"/>
        <w:numPr>
          <w:ilvl w:val="0"/>
          <w:numId w:val="3"/>
        </w:numPr>
      </w:pPr>
      <w:r>
        <w:t>Consumers are more likely</w:t>
      </w:r>
      <w:r w:rsidR="00A5358E">
        <w:t xml:space="preserve"> to </w:t>
      </w:r>
      <w:r w:rsidR="00BA414D">
        <w:t>respond positively to the advertising rather than switch off</w:t>
      </w:r>
    </w:p>
    <w:p w:rsidR="0066348B" w:rsidRDefault="00F920FB" w:rsidP="0066348B">
      <w:pPr>
        <w:pStyle w:val="ListParagraph"/>
        <w:numPr>
          <w:ilvl w:val="0"/>
          <w:numId w:val="3"/>
        </w:numPr>
      </w:pPr>
      <w:r>
        <w:t>Consumers are also</w:t>
      </w:r>
      <w:r w:rsidR="0066348B">
        <w:t xml:space="preserve"> more likely to</w:t>
      </w:r>
      <w:r w:rsidR="00BA414D">
        <w:t xml:space="preserve"> find the terms and conditions clear and helpful</w:t>
      </w:r>
    </w:p>
    <w:p w:rsidR="00BA414D" w:rsidRDefault="00BA414D" w:rsidP="0066348B">
      <w:pPr>
        <w:pStyle w:val="ListParagraph"/>
        <w:numPr>
          <w:ilvl w:val="0"/>
          <w:numId w:val="3"/>
        </w:numPr>
      </w:pPr>
      <w:r>
        <w:t xml:space="preserve">Most importantly they are more likely to notice and remember the critical facts to help them make informed decisions. </w:t>
      </w:r>
    </w:p>
    <w:p w:rsidR="00832C74" w:rsidRDefault="00832C74" w:rsidP="000E123E">
      <w:pPr>
        <w:rPr>
          <w:b/>
        </w:rPr>
      </w:pPr>
    </w:p>
    <w:p w:rsidR="00BA414D" w:rsidRPr="00F920FB" w:rsidRDefault="00BA414D" w:rsidP="000E123E">
      <w:pPr>
        <w:rPr>
          <w:b/>
        </w:rPr>
      </w:pPr>
      <w:r w:rsidRPr="00F920FB">
        <w:rPr>
          <w:b/>
        </w:rPr>
        <w:t>CONCLUSION</w:t>
      </w:r>
    </w:p>
    <w:p w:rsidR="00D463F8" w:rsidRDefault="00D463F8" w:rsidP="000E123E">
      <w:r>
        <w:t>The over-</w:t>
      </w:r>
      <w:r w:rsidR="00395CD9">
        <w:t xml:space="preserve">arching message </w:t>
      </w:r>
      <w:r w:rsidR="00F920FB">
        <w:t xml:space="preserve">from this study </w:t>
      </w:r>
      <w:r w:rsidR="00395CD9">
        <w:t>is that th</w:t>
      </w:r>
      <w:r>
        <w:t xml:space="preserve">e simpler and shorter the </w:t>
      </w:r>
      <w:r w:rsidR="00395CD9">
        <w:t>information</w:t>
      </w:r>
      <w:r>
        <w:t>, the more likely listeners are to engage with the ad</w:t>
      </w:r>
      <w:r w:rsidR="00BA414D">
        <w:t>vert</w:t>
      </w:r>
      <w:r>
        <w:t xml:space="preserve"> and remember the important information concerning risks or </w:t>
      </w:r>
      <w:r w:rsidR="00BA414D">
        <w:t>specific</w:t>
      </w:r>
      <w:r>
        <w:t xml:space="preserve"> terms and conditions.</w:t>
      </w:r>
    </w:p>
    <w:p w:rsidR="00F920FB" w:rsidRDefault="00F1770C" w:rsidP="00F920FB">
      <w:r>
        <w:t>Our recommendation for advertisers therefore is to try to minimise</w:t>
      </w:r>
      <w:r w:rsidR="00F920FB">
        <w:t xml:space="preserve"> complex and lengthy terms and conditions as much as possible and certainly think hard before adding caveats beyond those required by the regulators. </w:t>
      </w:r>
    </w:p>
    <w:p w:rsidR="00F920FB" w:rsidRDefault="00F920FB" w:rsidP="00F920FB">
      <w:r>
        <w:t>For regulators we would recommend giving consideration to ensuring legal caveats or risk warnings are kept as clear and focused as possible and take into account how much information consumers can realistically be expected to absorb at this early stage in the decision-making process.</w:t>
      </w:r>
    </w:p>
    <w:p w:rsidR="00BA414D" w:rsidRDefault="00F920FB" w:rsidP="000E123E">
      <w:proofErr w:type="gramStart"/>
      <w:r>
        <w:t>Finally, a</w:t>
      </w:r>
      <w:r w:rsidR="00BA414D">
        <w:t xml:space="preserve">lthough this study looks specifically at financial advertising (consumer credit offers and payday loans), many of its findings will </w:t>
      </w:r>
      <w:r w:rsidR="00F1770C">
        <w:t xml:space="preserve">be </w:t>
      </w:r>
      <w:r w:rsidR="00BA414D">
        <w:t xml:space="preserve">equally relevant to other </w:t>
      </w:r>
      <w:r w:rsidR="00F1770C">
        <w:t>sectors</w:t>
      </w:r>
      <w:r w:rsidR="00BA414D">
        <w:t xml:space="preserve"> where detailed and lengthy terms and conditions appear.</w:t>
      </w:r>
      <w:proofErr w:type="gramEnd"/>
    </w:p>
    <w:sectPr w:rsidR="00BA414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67" w:rsidRDefault="00035367" w:rsidP="00035367">
      <w:pPr>
        <w:spacing w:after="0" w:line="240" w:lineRule="auto"/>
      </w:pPr>
      <w:r>
        <w:separator/>
      </w:r>
    </w:p>
  </w:endnote>
  <w:endnote w:type="continuationSeparator" w:id="0">
    <w:p w:rsidR="00035367" w:rsidRDefault="00035367" w:rsidP="0003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20824"/>
      <w:docPartObj>
        <w:docPartGallery w:val="Page Numbers (Bottom of Page)"/>
        <w:docPartUnique/>
      </w:docPartObj>
    </w:sdtPr>
    <w:sdtEndPr>
      <w:rPr>
        <w:color w:val="808080" w:themeColor="background1" w:themeShade="80"/>
        <w:spacing w:val="60"/>
      </w:rPr>
    </w:sdtEndPr>
    <w:sdtContent>
      <w:p w:rsidR="000A0A00" w:rsidRDefault="000A0A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7E6B">
          <w:rPr>
            <w:noProof/>
          </w:rPr>
          <w:t>1</w:t>
        </w:r>
        <w:r>
          <w:rPr>
            <w:noProof/>
          </w:rPr>
          <w:fldChar w:fldCharType="end"/>
        </w:r>
        <w:r>
          <w:t xml:space="preserve"> | </w:t>
        </w:r>
        <w:r>
          <w:rPr>
            <w:color w:val="808080" w:themeColor="background1" w:themeShade="80"/>
            <w:spacing w:val="60"/>
          </w:rPr>
          <w:t>Page</w:t>
        </w:r>
      </w:p>
    </w:sdtContent>
  </w:sdt>
  <w:p w:rsidR="000A0A00" w:rsidRDefault="000A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67" w:rsidRDefault="00035367" w:rsidP="00035367">
      <w:pPr>
        <w:spacing w:after="0" w:line="240" w:lineRule="auto"/>
      </w:pPr>
      <w:r>
        <w:separator/>
      </w:r>
    </w:p>
  </w:footnote>
  <w:footnote w:type="continuationSeparator" w:id="0">
    <w:p w:rsidR="00035367" w:rsidRDefault="00035367" w:rsidP="00035367">
      <w:pPr>
        <w:spacing w:after="0" w:line="240" w:lineRule="auto"/>
      </w:pPr>
      <w:r>
        <w:continuationSeparator/>
      </w:r>
    </w:p>
  </w:footnote>
  <w:footnote w:id="1">
    <w:p w:rsidR="002C40F4" w:rsidRDefault="002C40F4">
      <w:pPr>
        <w:pStyle w:val="FootnoteText"/>
      </w:pPr>
      <w:r>
        <w:rPr>
          <w:rStyle w:val="FootnoteReference"/>
        </w:rPr>
        <w:footnoteRef/>
      </w:r>
      <w:r>
        <w:t xml:space="preserve"> </w:t>
      </w:r>
      <w:proofErr w:type="spellStart"/>
      <w:r>
        <w:t>Navigator:Radio</w:t>
      </w:r>
      <w:proofErr w:type="spellEnd"/>
      <w:r>
        <w:t xml:space="preserve"> Commercials and Wealth Warnings 2004 and </w:t>
      </w:r>
      <w:proofErr w:type="spellStart"/>
      <w:r>
        <w:t>Ipsos</w:t>
      </w:r>
      <w:proofErr w:type="spellEnd"/>
      <w:r>
        <w:t xml:space="preserve"> MORI: Payday Loan Advertising Research Oct 2013</w:t>
      </w:r>
    </w:p>
  </w:footnote>
  <w:footnote w:id="2">
    <w:p w:rsidR="002F41ED" w:rsidRDefault="002F41ED">
      <w:pPr>
        <w:pStyle w:val="FootnoteText"/>
      </w:pPr>
      <w:r>
        <w:rPr>
          <w:rStyle w:val="FootnoteReference"/>
        </w:rPr>
        <w:footnoteRef/>
      </w:r>
      <w:r>
        <w:t xml:space="preserve"> RAB: The effect of lengthy terms and conditions on consumer attention and perceptions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5B" w:rsidRDefault="0071605B" w:rsidP="007160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4D4"/>
    <w:multiLevelType w:val="hybridMultilevel"/>
    <w:tmpl w:val="1C28AAE2"/>
    <w:lvl w:ilvl="0" w:tplc="C71E67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21F67"/>
    <w:multiLevelType w:val="hybridMultilevel"/>
    <w:tmpl w:val="467C5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E42DE4"/>
    <w:multiLevelType w:val="hybridMultilevel"/>
    <w:tmpl w:val="7DB02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456810"/>
    <w:multiLevelType w:val="hybridMultilevel"/>
    <w:tmpl w:val="B5B2D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30DCF"/>
    <w:multiLevelType w:val="hybridMultilevel"/>
    <w:tmpl w:val="D66A1F9A"/>
    <w:lvl w:ilvl="0" w:tplc="AD7E30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F2B0A"/>
    <w:multiLevelType w:val="hybridMultilevel"/>
    <w:tmpl w:val="B8308240"/>
    <w:lvl w:ilvl="0" w:tplc="B87AC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00340"/>
    <w:multiLevelType w:val="hybridMultilevel"/>
    <w:tmpl w:val="8B46A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4"/>
    <w:rsid w:val="00004D6E"/>
    <w:rsid w:val="000161C9"/>
    <w:rsid w:val="00035367"/>
    <w:rsid w:val="00054B5F"/>
    <w:rsid w:val="00057734"/>
    <w:rsid w:val="00074491"/>
    <w:rsid w:val="00092D23"/>
    <w:rsid w:val="000A0A00"/>
    <w:rsid w:val="000D4D11"/>
    <w:rsid w:val="000E123E"/>
    <w:rsid w:val="000E2C77"/>
    <w:rsid w:val="000E4BB0"/>
    <w:rsid w:val="000E5BE7"/>
    <w:rsid w:val="00104600"/>
    <w:rsid w:val="00187D34"/>
    <w:rsid w:val="00193531"/>
    <w:rsid w:val="00196309"/>
    <w:rsid w:val="001E530B"/>
    <w:rsid w:val="00250173"/>
    <w:rsid w:val="00276DD6"/>
    <w:rsid w:val="002C07AB"/>
    <w:rsid w:val="002C40F4"/>
    <w:rsid w:val="002F41ED"/>
    <w:rsid w:val="00330ADD"/>
    <w:rsid w:val="00333641"/>
    <w:rsid w:val="003734C7"/>
    <w:rsid w:val="00376B4A"/>
    <w:rsid w:val="00395CD9"/>
    <w:rsid w:val="003D3CF4"/>
    <w:rsid w:val="003F575C"/>
    <w:rsid w:val="00401F70"/>
    <w:rsid w:val="00402984"/>
    <w:rsid w:val="00425C0A"/>
    <w:rsid w:val="0042798B"/>
    <w:rsid w:val="00466C09"/>
    <w:rsid w:val="004B074C"/>
    <w:rsid w:val="005037AF"/>
    <w:rsid w:val="00522626"/>
    <w:rsid w:val="00524BCF"/>
    <w:rsid w:val="005476A3"/>
    <w:rsid w:val="00551675"/>
    <w:rsid w:val="00561771"/>
    <w:rsid w:val="005E5BF1"/>
    <w:rsid w:val="005F0CD3"/>
    <w:rsid w:val="0066348B"/>
    <w:rsid w:val="006D3370"/>
    <w:rsid w:val="00710167"/>
    <w:rsid w:val="0071605B"/>
    <w:rsid w:val="00781358"/>
    <w:rsid w:val="007A7790"/>
    <w:rsid w:val="007D25BC"/>
    <w:rsid w:val="007D514E"/>
    <w:rsid w:val="007E5ED8"/>
    <w:rsid w:val="00806CC1"/>
    <w:rsid w:val="00814367"/>
    <w:rsid w:val="00816277"/>
    <w:rsid w:val="00832C74"/>
    <w:rsid w:val="008644CC"/>
    <w:rsid w:val="00871CFA"/>
    <w:rsid w:val="008A47C0"/>
    <w:rsid w:val="008B7004"/>
    <w:rsid w:val="008D7768"/>
    <w:rsid w:val="00902E6E"/>
    <w:rsid w:val="00970FA5"/>
    <w:rsid w:val="009C47C7"/>
    <w:rsid w:val="009D2B04"/>
    <w:rsid w:val="00A0393B"/>
    <w:rsid w:val="00A101A4"/>
    <w:rsid w:val="00A27D4B"/>
    <w:rsid w:val="00A47033"/>
    <w:rsid w:val="00A5358E"/>
    <w:rsid w:val="00A57E05"/>
    <w:rsid w:val="00A903A7"/>
    <w:rsid w:val="00AB338F"/>
    <w:rsid w:val="00AD3E8B"/>
    <w:rsid w:val="00AF2F89"/>
    <w:rsid w:val="00B0628F"/>
    <w:rsid w:val="00B076BA"/>
    <w:rsid w:val="00B17B27"/>
    <w:rsid w:val="00B21C68"/>
    <w:rsid w:val="00B40A87"/>
    <w:rsid w:val="00B472A0"/>
    <w:rsid w:val="00B72770"/>
    <w:rsid w:val="00B869E8"/>
    <w:rsid w:val="00BA315B"/>
    <w:rsid w:val="00BA414D"/>
    <w:rsid w:val="00BB5ED6"/>
    <w:rsid w:val="00BB7E6B"/>
    <w:rsid w:val="00BD192B"/>
    <w:rsid w:val="00BD2B50"/>
    <w:rsid w:val="00BD6211"/>
    <w:rsid w:val="00BF2A78"/>
    <w:rsid w:val="00C01201"/>
    <w:rsid w:val="00C14307"/>
    <w:rsid w:val="00C521C1"/>
    <w:rsid w:val="00C62CB2"/>
    <w:rsid w:val="00C83BFC"/>
    <w:rsid w:val="00C93F2D"/>
    <w:rsid w:val="00CD1709"/>
    <w:rsid w:val="00CD4DE3"/>
    <w:rsid w:val="00CD7CE9"/>
    <w:rsid w:val="00CF0163"/>
    <w:rsid w:val="00D33575"/>
    <w:rsid w:val="00D463F8"/>
    <w:rsid w:val="00D56F0D"/>
    <w:rsid w:val="00DC0010"/>
    <w:rsid w:val="00DF48DA"/>
    <w:rsid w:val="00E51922"/>
    <w:rsid w:val="00E63357"/>
    <w:rsid w:val="00E87FFC"/>
    <w:rsid w:val="00F06E68"/>
    <w:rsid w:val="00F1770C"/>
    <w:rsid w:val="00F34188"/>
    <w:rsid w:val="00F920FB"/>
    <w:rsid w:val="00F974E7"/>
    <w:rsid w:val="00FA2550"/>
    <w:rsid w:val="00FA3671"/>
    <w:rsid w:val="00FE06B9"/>
    <w:rsid w:val="00FE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04"/>
    <w:pPr>
      <w:ind w:left="720"/>
      <w:contextualSpacing/>
    </w:pPr>
  </w:style>
  <w:style w:type="paragraph" w:styleId="FootnoteText">
    <w:name w:val="footnote text"/>
    <w:basedOn w:val="Normal"/>
    <w:link w:val="FootnoteTextChar"/>
    <w:uiPriority w:val="99"/>
    <w:semiHidden/>
    <w:unhideWhenUsed/>
    <w:rsid w:val="00035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367"/>
    <w:rPr>
      <w:sz w:val="20"/>
      <w:szCs w:val="20"/>
    </w:rPr>
  </w:style>
  <w:style w:type="character" w:styleId="FootnoteReference">
    <w:name w:val="footnote reference"/>
    <w:basedOn w:val="DefaultParagraphFont"/>
    <w:uiPriority w:val="99"/>
    <w:semiHidden/>
    <w:unhideWhenUsed/>
    <w:rsid w:val="00035367"/>
    <w:rPr>
      <w:vertAlign w:val="superscript"/>
    </w:rPr>
  </w:style>
  <w:style w:type="character" w:styleId="Hyperlink">
    <w:name w:val="Hyperlink"/>
    <w:basedOn w:val="DefaultParagraphFont"/>
    <w:uiPriority w:val="99"/>
    <w:unhideWhenUsed/>
    <w:rsid w:val="00425C0A"/>
    <w:rPr>
      <w:color w:val="0000FF" w:themeColor="hyperlink"/>
      <w:u w:val="single"/>
    </w:rPr>
  </w:style>
  <w:style w:type="paragraph" w:styleId="BalloonText">
    <w:name w:val="Balloon Text"/>
    <w:basedOn w:val="Normal"/>
    <w:link w:val="BalloonTextChar"/>
    <w:uiPriority w:val="99"/>
    <w:semiHidden/>
    <w:unhideWhenUsed/>
    <w:rsid w:val="002C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AB"/>
    <w:rPr>
      <w:rFonts w:ascii="Tahoma" w:hAnsi="Tahoma" w:cs="Tahoma"/>
      <w:sz w:val="16"/>
      <w:szCs w:val="16"/>
    </w:rPr>
  </w:style>
  <w:style w:type="paragraph" w:styleId="Header">
    <w:name w:val="header"/>
    <w:basedOn w:val="Normal"/>
    <w:link w:val="HeaderChar"/>
    <w:uiPriority w:val="99"/>
    <w:unhideWhenUsed/>
    <w:rsid w:val="000A0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A00"/>
  </w:style>
  <w:style w:type="paragraph" w:styleId="Footer">
    <w:name w:val="footer"/>
    <w:basedOn w:val="Normal"/>
    <w:link w:val="FooterChar"/>
    <w:uiPriority w:val="99"/>
    <w:unhideWhenUsed/>
    <w:rsid w:val="000A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04"/>
    <w:pPr>
      <w:ind w:left="720"/>
      <w:contextualSpacing/>
    </w:pPr>
  </w:style>
  <w:style w:type="paragraph" w:styleId="FootnoteText">
    <w:name w:val="footnote text"/>
    <w:basedOn w:val="Normal"/>
    <w:link w:val="FootnoteTextChar"/>
    <w:uiPriority w:val="99"/>
    <w:semiHidden/>
    <w:unhideWhenUsed/>
    <w:rsid w:val="00035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367"/>
    <w:rPr>
      <w:sz w:val="20"/>
      <w:szCs w:val="20"/>
    </w:rPr>
  </w:style>
  <w:style w:type="character" w:styleId="FootnoteReference">
    <w:name w:val="footnote reference"/>
    <w:basedOn w:val="DefaultParagraphFont"/>
    <w:uiPriority w:val="99"/>
    <w:semiHidden/>
    <w:unhideWhenUsed/>
    <w:rsid w:val="00035367"/>
    <w:rPr>
      <w:vertAlign w:val="superscript"/>
    </w:rPr>
  </w:style>
  <w:style w:type="character" w:styleId="Hyperlink">
    <w:name w:val="Hyperlink"/>
    <w:basedOn w:val="DefaultParagraphFont"/>
    <w:uiPriority w:val="99"/>
    <w:unhideWhenUsed/>
    <w:rsid w:val="00425C0A"/>
    <w:rPr>
      <w:color w:val="0000FF" w:themeColor="hyperlink"/>
      <w:u w:val="single"/>
    </w:rPr>
  </w:style>
  <w:style w:type="paragraph" w:styleId="BalloonText">
    <w:name w:val="Balloon Text"/>
    <w:basedOn w:val="Normal"/>
    <w:link w:val="BalloonTextChar"/>
    <w:uiPriority w:val="99"/>
    <w:semiHidden/>
    <w:unhideWhenUsed/>
    <w:rsid w:val="002C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AB"/>
    <w:rPr>
      <w:rFonts w:ascii="Tahoma" w:hAnsi="Tahoma" w:cs="Tahoma"/>
      <w:sz w:val="16"/>
      <w:szCs w:val="16"/>
    </w:rPr>
  </w:style>
  <w:style w:type="paragraph" w:styleId="Header">
    <w:name w:val="header"/>
    <w:basedOn w:val="Normal"/>
    <w:link w:val="HeaderChar"/>
    <w:uiPriority w:val="99"/>
    <w:unhideWhenUsed/>
    <w:rsid w:val="000A0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A00"/>
  </w:style>
  <w:style w:type="paragraph" w:styleId="Footer">
    <w:name w:val="footer"/>
    <w:basedOn w:val="Normal"/>
    <w:link w:val="FooterChar"/>
    <w:uiPriority w:val="99"/>
    <w:unhideWhenUsed/>
    <w:rsid w:val="000A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moneyadviceservic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ED40-0179-460E-BD5F-D3E8435A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B87C823D</Template>
  <TotalTime>1</TotalTime>
  <Pages>7</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Spilsbury</dc:creator>
  <cp:lastModifiedBy>Judith Spilsbury</cp:lastModifiedBy>
  <cp:revision>3</cp:revision>
  <cp:lastPrinted>2013-12-03T09:10:00Z</cp:lastPrinted>
  <dcterms:created xsi:type="dcterms:W3CDTF">2014-06-26T11:48:00Z</dcterms:created>
  <dcterms:modified xsi:type="dcterms:W3CDTF">2014-06-26T11:48:00Z</dcterms:modified>
</cp:coreProperties>
</file>